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nuda USTINH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Ustilago tritici and U. nuda differ only in pathogenicity [ibid., 23, p. 170] they should be united in one species (U. nuda) (Ainsworth &amp; Sampson, 1950). U. tritici and U. nuda are synonyms according to Index Fungorum (</w:t>
      </w:r>
      <w:hyperlink r:id="rId27306aabbc9e6db10" w:history="1">
        <w:r>
          <w:rPr>
            <w:color w:val="0200C9"/>
            <w:sz w:val="24"/>
            <w:szCs w:val="24"/>
          </w:rPr>
          <w:t xml:space="preserve">http://www.indexfungorum.org/names/NamesRecord.asp?RecordID=141349</w:t>
        </w:r>
      </w:hyperlink>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1982).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nuda causes loose smut of barley and seed is a pathway. Infection is seed-borne within the seed. The spores of Ustilago nuda germinate on the ovary of a flowering plant and hyphae penetrate the ovary wall and grow towards the developing scutellum and embryo and remain dormant in these tissues until the seed starts to germinate. Infected seeds give rise to systemically infected plants and diseased ears are visible directly after heading. The black spores are released between glumes and broken-down grains, and are blown by the wind to infect neighbouring healthy ears (EPPO, 1997). Seed certification and seed treatment are very effective in controlling the disease, which is now practically unknown in intensive cereal cultivation in Europe. If untreated farmer-saved seed is sown, these diseases reappear (EPPO, 1997).</w:t>
      </w:r>
      <w:r>
        <w:rPr>
          <w:color w:val="0200C9"/>
          <w:sz w:val="24"/>
          <w:szCs w:val="24"/>
        </w:rPr>
        <w:br/>
        <w:t xml:space="preserve">The directive 66/402 has a requirement for the seed producing crop that Ustilaginaceae shall be at the lowest possible level, but no seed-testing requirements are given. There is a seed test by embryo extraction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arise from direct loss of infected ears which at harvest are just a bare rachis. A 2% seed infection will give a corresponding 2% loss of yield, however an infection of 0.1% may appear visually dramatic, although the yield loss would be negligible. However, If the crop is to be used for seed, saving seed from a crop with a low level of ear symptoms can result in high levels of seed infection (Paveley et al., 1996). In Canada, the percentage of barley fields affected by smuts ranged from 51% in 1992 to 82% in 1995. The percentage of infected plants and therefore grain yield losses (with cereal smut disease the % infected plants equals the % yield loss) ranged from 0.2% in 1991 to 0.8% in 1989 (Thomas and Menzies,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are in proportion to the percentage of infected heads in the crop. Generally losses are low less than 1% but can exceed 30% in susceptible cultivars. Teliospores from infected ears can infect ovaries of health plants, re-establishing the disease in the next generation of seed produced. Infected seeds are otherwise normal, outwardly the same as uninfected seed (Compendium of barley diseases.1997). Potential for the disease to multiply within a few years is great if seed is sown untreated or without a systemic seed treatment. Cultivar resistance/susceptibility is mostly linked to flowering habit (Flower habit more open, plant more susceptible).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use of less susceptible varieties, and mostly through systemic seed treatment fungicides (e.g. tebuconazole, triticonazole, prothioconazole). These fungicides are not allowable for organic farming (for organic farming management is performed through testing and field inspections).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(0.1% of seeds infected) for Pre-basic and Basic material (alternative option: absence of symptoms in the crop and its immediate vicinity), a tolerance (0.5 to 2% of seeds infected – no consensus within the SEWG) for certified material, with alternative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Relative importance of field inspection and sample testing was discussed by the SEWG. The SEWG agreed that field inspection, for this pest, will only show the level of presence of the pest in the planted material and not in the final seed lot. The SEWG agreed with the definition of a threshold for seeds and not for field inspection. However the SEWG accepted to introduce one option based on the absence of symptoms observed in the crop and in its immediate vicinity (absence of inoculum).</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0.1% of seeds are infected; or</w:t>
      </w:r>
      <w:r>
        <w:rPr>
          <w:color w:val="0200C9"/>
          <w:sz w:val="24"/>
          <w:szCs w:val="24"/>
        </w:rPr>
        <w:br/>
        <w:t xml:space="preserve">(c) Seed treatment with an approved fungicide known to be effective against Ustilago nuda;</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200C9"/>
          <w:sz w:val="24"/>
          <w:szCs w:val="24"/>
        </w:rPr>
        <w:br/>
        <w:br/>
        <w:t xml:space="preserve">Certified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[0.5-2%] of seeds are infected; or</w:t>
      </w:r>
      <w:r>
        <w:rPr>
          <w:color w:val="0200C9"/>
          <w:sz w:val="24"/>
          <w:szCs w:val="24"/>
        </w:rPr>
        <w:br/>
        <w:t xml:space="preserve">(c) Seed treatment with an approved fungicide known to be effective against Ustilago nuda;</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did not agree on the threshold for certified material. This point need to be re-discussed at EU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numPr>
          <w:ilvl w:val="0"/>
          <w:numId w:val="1"/>
        </w:numPr>
        <w:spacing w:before="0" w:after="0" w:line="240" w:lineRule="auto"/>
        <w:jc w:val="left"/>
        <w:rPr>
          <w:color w:val="0200C9"/>
          <w:sz w:val="24"/>
          <w:szCs w:val="24"/>
        </w:rPr>
      </w:pPr>
      <w:r>
        <w:rPr>
          <w:color w:val="0200C9"/>
          <w:sz w:val="24"/>
          <w:szCs w:val="24"/>
        </w:rPr>
        <w:t xml:space="preserve">CABI (1982) Ustilago nuda. Distribution map for Ustilago nuda. Distribution Maps of Plant Diseases Map 368 available at: </w:t>
      </w:r>
      <w:hyperlink r:id="rId44906aabbc9e6e126" w:history="1">
        <w:r>
          <w:rPr>
            <w:color w:val="0200C9"/>
            <w:sz w:val="24"/>
            <w:szCs w:val="24"/>
          </w:rPr>
          <w:t xml:space="preserve">https://www.cabdirect.org/cabdirect/FullTextPDF/2005/20056500368.pdf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2/11 (1) Barley. Bulletin OEPP/EPPO Bulletin 27, 339-361;</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67916">
    <w:multiLevelType w:val="hybridMultilevel"/>
    <w:lvl w:ilvl="0" w:tplc="71405880">
      <w:start w:val="1"/>
      <w:numFmt w:val="decimal"/>
      <w:lvlText w:val="%1."/>
      <w:lvlJc w:val="left"/>
      <w:pPr>
        <w:ind w:left="720" w:hanging="360"/>
      </w:pPr>
    </w:lvl>
    <w:lvl w:ilvl="1" w:tplc="71405880" w:tentative="1">
      <w:start w:val="1"/>
      <w:numFmt w:val="lowerLetter"/>
      <w:lvlText w:val="%2."/>
      <w:lvlJc w:val="left"/>
      <w:pPr>
        <w:ind w:left="1440" w:hanging="360"/>
      </w:pPr>
    </w:lvl>
    <w:lvl w:ilvl="2" w:tplc="71405880" w:tentative="1">
      <w:start w:val="1"/>
      <w:numFmt w:val="lowerRoman"/>
      <w:lvlText w:val="%3."/>
      <w:lvlJc w:val="right"/>
      <w:pPr>
        <w:ind w:left="2160" w:hanging="180"/>
      </w:pPr>
    </w:lvl>
    <w:lvl w:ilvl="3" w:tplc="71405880" w:tentative="1">
      <w:start w:val="1"/>
      <w:numFmt w:val="decimal"/>
      <w:lvlText w:val="%4."/>
      <w:lvlJc w:val="left"/>
      <w:pPr>
        <w:ind w:left="2880" w:hanging="360"/>
      </w:pPr>
    </w:lvl>
    <w:lvl w:ilvl="4" w:tplc="71405880" w:tentative="1">
      <w:start w:val="1"/>
      <w:numFmt w:val="lowerLetter"/>
      <w:lvlText w:val="%5."/>
      <w:lvlJc w:val="left"/>
      <w:pPr>
        <w:ind w:left="3600" w:hanging="360"/>
      </w:pPr>
    </w:lvl>
    <w:lvl w:ilvl="5" w:tplc="71405880" w:tentative="1">
      <w:start w:val="1"/>
      <w:numFmt w:val="lowerRoman"/>
      <w:lvlText w:val="%6."/>
      <w:lvlJc w:val="right"/>
      <w:pPr>
        <w:ind w:left="4320" w:hanging="180"/>
      </w:pPr>
    </w:lvl>
    <w:lvl w:ilvl="6" w:tplc="71405880" w:tentative="1">
      <w:start w:val="1"/>
      <w:numFmt w:val="decimal"/>
      <w:lvlText w:val="%7."/>
      <w:lvlJc w:val="left"/>
      <w:pPr>
        <w:ind w:left="5040" w:hanging="360"/>
      </w:pPr>
    </w:lvl>
    <w:lvl w:ilvl="7" w:tplc="71405880" w:tentative="1">
      <w:start w:val="1"/>
      <w:numFmt w:val="lowerLetter"/>
      <w:lvlText w:val="%8."/>
      <w:lvlJc w:val="left"/>
      <w:pPr>
        <w:ind w:left="5760" w:hanging="360"/>
      </w:pPr>
    </w:lvl>
    <w:lvl w:ilvl="8" w:tplc="71405880" w:tentative="1">
      <w:start w:val="1"/>
      <w:numFmt w:val="lowerRoman"/>
      <w:lvlText w:val="%9."/>
      <w:lvlJc w:val="right"/>
      <w:pPr>
        <w:ind w:left="6480" w:hanging="180"/>
      </w:pPr>
    </w:lvl>
  </w:abstractNum>
  <w:abstractNum w:abstractNumId="92367915">
    <w:multiLevelType w:val="hybridMultilevel"/>
    <w:lvl w:ilvl="0" w:tplc="78327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67915">
    <w:abstractNumId w:val="92367915"/>
  </w:num>
  <w:num w:numId="92367916">
    <w:abstractNumId w:val="92367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6547104" Type="http://schemas.microsoft.com/office/2011/relationships/commentsExtended" Target="commentsExtended.xml"/><Relationship Id="rId27306aabbc9e6db10" Type="http://schemas.openxmlformats.org/officeDocument/2006/relationships/hyperlink" Target="http://www.indexfungorum.org/names/NamesRecord.asp?RecordID=141349" TargetMode="External"/><Relationship Id="rId44906aabbc9e6e126" Type="http://schemas.openxmlformats.org/officeDocument/2006/relationships/hyperlink" Target="https://www.cabdirect.org/cabdirect/FullTextPDF/2005/200565003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