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avenae (USTIAV)</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including Europe (CABI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Avena sativa (AVESA)</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Ustilago avenae causes loose smut on oats and seed is a pathway. On emergence, the ears of infected plants are totally transformed into a black powdery spore mass of teliospores which are released in great number during flowering, spread by the wind to infect new grains, or during threshing. During germination seedlings are systemically infected by spores carried on the outside of the seeds. (It is not inside the embryo of the seed). To avoid the disease it is important to use disease-free certified seed or fungicide-treated seed (EPPO, 2002). Avena sativa was listed as a host species which was the least resistant to Ustilago spp. (Bogachkov et al., 1990).</w:t>
      </w:r>
      <w:r>
        <w:rPr>
          <w:color w:val="0200C9"/>
          <w:sz w:val="24"/>
          <w:szCs w:val="24"/>
        </w:rPr>
        <w:br/>
        <w:t xml:space="preserve">The EU Directive 66/402 has a requirement for the seed producing crop that Ustilaginaceae shall be at the lowest possible level, but no seed-testing requirements are given and no seed test is described by ISTA.</w:t>
      </w:r>
      <w:r>
        <w:rPr>
          <w:color w:val="0200C9"/>
          <w:sz w:val="24"/>
          <w:szCs w:val="24"/>
        </w:rPr>
        <w:br/>
        <w:t xml:space="preserve">Volunteer plants grown from spilt contaminated seed from the previous year could in theory act as a disease source but this appears to be very rare because no references to this could be found. It is concluded seed can be considered as a significant pathway for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Losses from loose smut in oats generally average less than 1%, but losses of up to 40% have been recorded. A formula can be used to calculate losses from loose smut and the percentage of infected ears is directly proportional to grain loss. The risk of serious loss of in-crop yield from sowing seed saved from certified and treated seed is considered to be low but of high risk where seed is saved repeatedly without treatment. The risk to adjacent crops of oats is negligible unless used for seed (Paveley et al., 1996). In Canada in 1992-1994 the percentage of fields affected by smuts ranged from 2% in 1994 to 23% in 1992, with means of 0.1% or fewer infected plants (Thomas and Menzies, 1997). The disease is now practically unknown in intensive cereal cultivation in Europe due to the use of disease-free certified seed or fungicide-treated seed. However, in low intensive areas with untreated farmer-saved seed it can be still a problem (EPPO, 2002). For example, in 2015 in Bosnia, infection symptoms were found on 55% of the oats acreage, and in 2016 on 43% (Delalić,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Generally yield losses are low 1% but can be as high as 40%. The percentage of infected ears is directly proportional to grain loss. Spores from infected ears are wind blown onto healthy plants and contaminate the caryopsis and glumes, re-establishing the disease in the next generation of seed produced. Some infestation may also occur during threshing. Potential for the disease to multiply within a few years is great if seed sown untreated.</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through standards for field inspection and seed, and through seed treatment fungicides. These fungicides are not allowable for organic farming.</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Tolerance level in the field (1 affected plant per 100m2), with an alternative option based on treatments or other approved physical technique.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For all categories of material:</w:t>
      </w:r>
      <w:r>
        <w:rPr>
          <w:color w:val="0200C9"/>
          <w:sz w:val="24"/>
          <w:szCs w:val="24"/>
        </w:rPr>
        <w:br/>
        <w:t xml:space="preserve">(a) Field inspection of a representative sample of the plants in the crop at an appropriate time at which not more than 1 affected plant per 100m2 is seen.</w:t>
      </w:r>
      <w:r>
        <w:rPr>
          <w:color w:val="0200C9"/>
          <w:sz w:val="24"/>
          <w:szCs w:val="24"/>
        </w:rPr>
        <w:br/>
        <w:t xml:space="preserve">or, if this tolerance is not achieved at field inspection,</w:t>
      </w:r>
      <w:r>
        <w:rPr>
          <w:color w:val="0200C9"/>
          <w:sz w:val="24"/>
          <w:szCs w:val="24"/>
        </w:rPr>
        <w:br/>
        <w:t xml:space="preserve">(b) Seed treatment with an approved fungicide or by an approved physical technique known to be effective against Ustilago avenae.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Ustilago avenae (loose smut of oats). Invasive species compendium. CABI, Wallingford, UK. Available from </w:t>
      </w:r>
      <w:hyperlink r:id="rId2426662347570f2a6" w:history="1">
        <w:r>
          <w:rPr>
            <w:color w:val="0200C9"/>
            <w:sz w:val="24"/>
            <w:szCs w:val="24"/>
          </w:rPr>
          <w:t xml:space="preserve">http://www.cabi.org/isc/datasheet/55931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Delalić Z (2016) Smut of oats (Ustilago avenae) increasing problem in oats crops on the territory of Una-Sana Canton (B&amp;H). Biljni Lekar (Plant Doctor) 44, 248-254;</w:t>
      </w:r>
    </w:p>
    <w:p>
      <w:pPr>
        <w:numPr>
          <w:ilvl w:val="0"/>
          <w:numId w:val="1"/>
        </w:numPr>
        <w:spacing w:before="0" w:after="0" w:line="240" w:lineRule="auto"/>
        <w:jc w:val="left"/>
        <w:rPr>
          <w:color w:val="0200C9"/>
          <w:sz w:val="24"/>
          <w:szCs w:val="24"/>
        </w:rPr>
      </w:pPr>
      <w:r>
        <w:rPr>
          <w:color w:val="0200C9"/>
          <w:sz w:val="24"/>
          <w:szCs w:val="24"/>
        </w:rPr>
        <w:t xml:space="preserve">EPPO (2002) Good plant protection practice PP 2/24 (1) Oat. Bulletin OEPP/EPPO Bulletin 32, 367–369;</w:t>
      </w:r>
    </w:p>
    <w:p>
      <w:pPr>
        <w:numPr>
          <w:ilvl w:val="0"/>
          <w:numId w:val="1"/>
        </w:numPr>
        <w:spacing w:before="0" w:after="0" w:line="240" w:lineRule="auto"/>
        <w:jc w:val="left"/>
        <w:rPr>
          <w:color w:val="0200C9"/>
          <w:sz w:val="24"/>
          <w:szCs w:val="24"/>
        </w:rPr>
      </w:pPr>
      <w:r>
        <w:rPr>
          <w:color w:val="0200C9"/>
          <w:sz w:val="24"/>
          <w:szCs w:val="24"/>
        </w:rPr>
        <w:t xml:space="preserve">Paveley ND, Rennie WJ, Reeves JC, Wray MW, Slawson DD, Clark WS, Cockerell V &amp; Mitchell AG (1996) Cereal seed health and seed treatment strategies. HGCA Research Review 34, IV-131;</w:t>
      </w:r>
    </w:p>
    <w:p>
      <w:pPr>
        <w:numPr>
          <w:ilvl w:val="0"/>
          <w:numId w:val="1"/>
        </w:numPr>
        <w:spacing w:before="0" w:after="0" w:line="240" w:lineRule="auto"/>
        <w:jc w:val="left"/>
        <w:rPr>
          <w:color w:val="0200C9"/>
          <w:sz w:val="24"/>
          <w:szCs w:val="24"/>
        </w:rPr>
      </w:pPr>
      <w:r>
        <w:rPr>
          <w:color w:val="0200C9"/>
          <w:sz w:val="24"/>
          <w:szCs w:val="24"/>
        </w:rPr>
        <w:t xml:space="preserve">Thomas PL &amp; Menzies JG (1997) Cereal smuts in Manitoba and Saskatchewan, 1989-95. Canadian Journal of Plant Pathology 19, 161-165;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670769">
    <w:multiLevelType w:val="hybridMultilevel"/>
    <w:lvl w:ilvl="0" w:tplc="51504103">
      <w:start w:val="1"/>
      <w:numFmt w:val="decimal"/>
      <w:lvlText w:val="%1."/>
      <w:lvlJc w:val="left"/>
      <w:pPr>
        <w:ind w:left="720" w:hanging="360"/>
      </w:pPr>
    </w:lvl>
    <w:lvl w:ilvl="1" w:tplc="51504103" w:tentative="1">
      <w:start w:val="1"/>
      <w:numFmt w:val="lowerLetter"/>
      <w:lvlText w:val="%2."/>
      <w:lvlJc w:val="left"/>
      <w:pPr>
        <w:ind w:left="1440" w:hanging="360"/>
      </w:pPr>
    </w:lvl>
    <w:lvl w:ilvl="2" w:tplc="51504103" w:tentative="1">
      <w:start w:val="1"/>
      <w:numFmt w:val="lowerRoman"/>
      <w:lvlText w:val="%3."/>
      <w:lvlJc w:val="right"/>
      <w:pPr>
        <w:ind w:left="2160" w:hanging="180"/>
      </w:pPr>
    </w:lvl>
    <w:lvl w:ilvl="3" w:tplc="51504103" w:tentative="1">
      <w:start w:val="1"/>
      <w:numFmt w:val="decimal"/>
      <w:lvlText w:val="%4."/>
      <w:lvlJc w:val="left"/>
      <w:pPr>
        <w:ind w:left="2880" w:hanging="360"/>
      </w:pPr>
    </w:lvl>
    <w:lvl w:ilvl="4" w:tplc="51504103" w:tentative="1">
      <w:start w:val="1"/>
      <w:numFmt w:val="lowerLetter"/>
      <w:lvlText w:val="%5."/>
      <w:lvlJc w:val="left"/>
      <w:pPr>
        <w:ind w:left="3600" w:hanging="360"/>
      </w:pPr>
    </w:lvl>
    <w:lvl w:ilvl="5" w:tplc="51504103" w:tentative="1">
      <w:start w:val="1"/>
      <w:numFmt w:val="lowerRoman"/>
      <w:lvlText w:val="%6."/>
      <w:lvlJc w:val="right"/>
      <w:pPr>
        <w:ind w:left="4320" w:hanging="180"/>
      </w:pPr>
    </w:lvl>
    <w:lvl w:ilvl="6" w:tplc="51504103" w:tentative="1">
      <w:start w:val="1"/>
      <w:numFmt w:val="decimal"/>
      <w:lvlText w:val="%7."/>
      <w:lvlJc w:val="left"/>
      <w:pPr>
        <w:ind w:left="5040" w:hanging="360"/>
      </w:pPr>
    </w:lvl>
    <w:lvl w:ilvl="7" w:tplc="51504103" w:tentative="1">
      <w:start w:val="1"/>
      <w:numFmt w:val="lowerLetter"/>
      <w:lvlText w:val="%8."/>
      <w:lvlJc w:val="left"/>
      <w:pPr>
        <w:ind w:left="5760" w:hanging="360"/>
      </w:pPr>
    </w:lvl>
    <w:lvl w:ilvl="8" w:tplc="51504103" w:tentative="1">
      <w:start w:val="1"/>
      <w:numFmt w:val="lowerRoman"/>
      <w:lvlText w:val="%9."/>
      <w:lvlJc w:val="right"/>
      <w:pPr>
        <w:ind w:left="6480" w:hanging="180"/>
      </w:pPr>
    </w:lvl>
  </w:abstractNum>
  <w:abstractNum w:abstractNumId="19670768">
    <w:multiLevelType w:val="hybridMultilevel"/>
    <w:lvl w:ilvl="0" w:tplc="197113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670768">
    <w:abstractNumId w:val="19670768"/>
  </w:num>
  <w:num w:numId="19670769">
    <w:abstractNumId w:val="196707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3235210" Type="http://schemas.microsoft.com/office/2011/relationships/commentsExtended" Target="commentsExtended.xml"/><Relationship Id="rId2426662347570f2a6" Type="http://schemas.openxmlformats.org/officeDocument/2006/relationships/hyperlink" Target="http://www.cabi.org/isc/datasheet/5593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