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prunorum (Apricot chlorotic leafroll mycoplasm) (PHYPPR)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Apricot chlorotic leafroll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For the Fruit and ornamental sectors: Candidatus phytoplasma prunorum has been detected frequently on Prunus armeniaca, P. salicina, P. domestica, P. persica and more rarely on P. amygdalus (Cieślińska, 2011). Wild species of P. spinosa and P. cerasifera are frequently host plants. This diversity is supporting a listing at the Genus level for Prunus.</w:t>
      </w:r>
      <w:r>
        <w:rPr>
          <w:color w:val="0200C9"/>
          <w:sz w:val="24"/>
          <w:szCs w:val="24"/>
        </w:rPr>
        <w:br/>
        <w:t xml:space="preserve">For the Forestry sector: Prunus avium is the only host of the Prunus genus listed in Annex I of EU Directive 1999/105. However experts also considered during the evaluation other Prunus species, since other species are more susceptible to the disease and could also be grown in forest nurseries.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(2012); Belgium (2012); Bulgaria (2012); Croatia (2012); Czech Republic (2012); France (2012); France/Corse (2012); Germany (2012); Greece (2012); Hungary (2012); Italy (2012); Italy/Sardegna (2012); Poland (2012); Romania (2012); Slovakia (2012); Slovenia (2012); Spain (2015); United Kingdom (2000); United Kingdom/England (2000)</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1746622fc9471684" w:history="1">
        <w:r>
          <w:rPr>
            <w:color w:val="0200C9"/>
            <w:sz w:val="24"/>
            <w:szCs w:val="24"/>
          </w:rPr>
          <w:t xml:space="preserve">https://gd.eppo.int/</w:t>
        </w:r>
      </w:hyperlink>
      <w:r>
        <w:rPr>
          <w:color w:val="0200C9"/>
          <w:sz w:val="24"/>
          <w:szCs w:val="24"/>
        </w:rPr>
        <w:t xml:space="preserve">). This pest is a candidate for the RNQP status according to the IIA2AWG.</w:t>
      </w:r>
      <w:r>
        <w:rPr>
          <w:color w:val="0200C9"/>
          <w:sz w:val="24"/>
          <w:szCs w:val="24"/>
        </w:rPr>
        <w:br/>
        <w:t xml:space="preserve">Comment by forestry experts: Since no targeted surveys of CPp infection on tolerant hosts (such as Prunus avium) are undertaken, the distribution of CPp in Europe is unclear and suspected to be underestimated, especially in Northern countries where sensitive hosts such as apricot and peach are not produced. The wild forms (Prunus spinosa) was surveyed together with Cacopsylla pruni across Germany and CPp was confirmed across the country (both, systemic and latent) (Dr. Jaraush, personal communication).</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(1PRNG)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Prunus avium is the only host plant belonging to the Prunus genus and listed in the EU Marketing Directive for forest reproductive material. Prunus avium is not covered by EPPO PM 4/30 Standard. Prunus avium is included in EPPO PM 4/29 Standard (Certification scheme for cherries for fruit) but Candidatus phytoplasma prunorum is not included there because P. avium was considered resistant and not a significant host of this pathogen (EU COM, 2016).</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Prunus plants for planting can be a very efficient pathway, when propagated from infested plants. Vector transmission is also a pathway. However sweet cherries (P. avium), sour cherries (P. cerasus) and bird cherry (P. padus) are highly resistant and do not play a role in the epidemiology (EU COM, 2016). Plants for planting of P. avium are not the main pathway for this pest/host/combination. However evaluation continues in relation to other Prunus species used for forestry purpose.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information of possible impacts on forest plants is known (Symptoms of ESFY are obvious only in P. armeniaca, P. salicina and P. persica, whereas other important species are either tolerant, usually not showing symptoms. For Prunus avium, no impact is known on forest plants nor on fruit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is probably no economic impact for the forestry use. However forest plants may be produced at the same place of production than plants for the fruit production. Measures may be proposed on Prunus for the fruit sector to prevent from any cross-contamination, if nurseries produce fruit and forest trees at the same time. Prunus avium which is highly resistant, hosts neither the pathogen nor the vector.</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economic impact in the forestry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55316622fc9471a43"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Ciesliñska M &amp; Smolarek T (2015) Molecular diversity of phytoplasmas infecting cherry trees in Poland. Phytopathogenic Mollicutes 5, S31-S32;</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Apricot chlorotic leafroll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73336622fc9471aa9"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Ludvikova H, Franova J &amp; Sucha J (2011) Phytoplasmas in apricot, peach and sour cherry orchards in East Bohemia, Czech Republic. Bulletin of Insectology 64: S67-S68;</w:t>
      </w:r>
    </w:p>
    <w:p>
      <w:pPr>
        <w:numPr>
          <w:ilvl w:val="0"/>
          <w:numId w:val="1"/>
        </w:numPr>
        <w:spacing w:before="0" w:after="0" w:line="240" w:lineRule="auto"/>
        <w:jc w:val="left"/>
        <w:rPr>
          <w:color w:val="0200C9"/>
          <w:sz w:val="24"/>
          <w:szCs w:val="24"/>
        </w:rPr>
      </w:pPr>
      <w:r>
        <w:rPr>
          <w:color w:val="0200C9"/>
          <w:sz w:val="24"/>
          <w:szCs w:val="24"/>
        </w:rPr>
        <w:t xml:space="preserve">Marcone C, Jarausch B, Jarausch W (2010) Candidatus Phytoplasma prunorum, the causal agent of European stone fruit yellows: an overview. Journal of Plant Pathology 92, 19-34.</w:t>
      </w:r>
    </w:p>
    <w:p>
      <w:pPr>
        <w:numPr>
          <w:ilvl w:val="0"/>
          <w:numId w:val="1"/>
        </w:numPr>
        <w:spacing w:before="0" w:after="0" w:line="240" w:lineRule="auto"/>
        <w:jc w:val="left"/>
        <w:rPr>
          <w:color w:val="0200C9"/>
          <w:sz w:val="24"/>
          <w:szCs w:val="24"/>
        </w:rPr>
      </w:pPr>
      <w:r>
        <w:rPr>
          <w:color w:val="0200C9"/>
          <w:sz w:val="24"/>
          <w:szCs w:val="24"/>
        </w:rPr>
        <w:t xml:space="preserve">Mehle N, Ravnikar M, Seljak G, Knapic V &amp; Dermastia M (2011) The most widespread phytoplasmas, vectors and measures for disease control in Slovenia. Phytopathogenic Mollicutes 1, 65-76;</w:t>
      </w:r>
    </w:p>
    <w:p>
      <w:pPr>
        <w:numPr>
          <w:ilvl w:val="0"/>
          <w:numId w:val="1"/>
        </w:numPr>
        <w:spacing w:before="0" w:after="0" w:line="240" w:lineRule="auto"/>
        <w:jc w:val="left"/>
        <w:rPr>
          <w:color w:val="0200C9"/>
          <w:sz w:val="24"/>
          <w:szCs w:val="24"/>
        </w:rPr>
      </w:pPr>
      <w:r>
        <w:rPr>
          <w:color w:val="0200C9"/>
          <w:sz w:val="24"/>
          <w:szCs w:val="24"/>
        </w:rPr>
        <w:t xml:space="preserve">Tarcali G &amp; Kövics GJ (2012) New data of Ca. Phytoplasma prunorum occurrence in the Eastern part of the Carpathian-Basin. Journal of Agricultural Sciences, Debrecen 50, 105-110;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94243">
    <w:multiLevelType w:val="hybridMultilevel"/>
    <w:lvl w:ilvl="0" w:tplc="30465890">
      <w:start w:val="1"/>
      <w:numFmt w:val="decimal"/>
      <w:lvlText w:val="%1."/>
      <w:lvlJc w:val="left"/>
      <w:pPr>
        <w:ind w:left="720" w:hanging="360"/>
      </w:pPr>
    </w:lvl>
    <w:lvl w:ilvl="1" w:tplc="30465890" w:tentative="1">
      <w:start w:val="1"/>
      <w:numFmt w:val="lowerLetter"/>
      <w:lvlText w:val="%2."/>
      <w:lvlJc w:val="left"/>
      <w:pPr>
        <w:ind w:left="1440" w:hanging="360"/>
      </w:pPr>
    </w:lvl>
    <w:lvl w:ilvl="2" w:tplc="30465890" w:tentative="1">
      <w:start w:val="1"/>
      <w:numFmt w:val="lowerRoman"/>
      <w:lvlText w:val="%3."/>
      <w:lvlJc w:val="right"/>
      <w:pPr>
        <w:ind w:left="2160" w:hanging="180"/>
      </w:pPr>
    </w:lvl>
    <w:lvl w:ilvl="3" w:tplc="30465890" w:tentative="1">
      <w:start w:val="1"/>
      <w:numFmt w:val="decimal"/>
      <w:lvlText w:val="%4."/>
      <w:lvlJc w:val="left"/>
      <w:pPr>
        <w:ind w:left="2880" w:hanging="360"/>
      </w:pPr>
    </w:lvl>
    <w:lvl w:ilvl="4" w:tplc="30465890" w:tentative="1">
      <w:start w:val="1"/>
      <w:numFmt w:val="lowerLetter"/>
      <w:lvlText w:val="%5."/>
      <w:lvlJc w:val="left"/>
      <w:pPr>
        <w:ind w:left="3600" w:hanging="360"/>
      </w:pPr>
    </w:lvl>
    <w:lvl w:ilvl="5" w:tplc="30465890" w:tentative="1">
      <w:start w:val="1"/>
      <w:numFmt w:val="lowerRoman"/>
      <w:lvlText w:val="%6."/>
      <w:lvlJc w:val="right"/>
      <w:pPr>
        <w:ind w:left="4320" w:hanging="180"/>
      </w:pPr>
    </w:lvl>
    <w:lvl w:ilvl="6" w:tplc="30465890" w:tentative="1">
      <w:start w:val="1"/>
      <w:numFmt w:val="decimal"/>
      <w:lvlText w:val="%7."/>
      <w:lvlJc w:val="left"/>
      <w:pPr>
        <w:ind w:left="5040" w:hanging="360"/>
      </w:pPr>
    </w:lvl>
    <w:lvl w:ilvl="7" w:tplc="30465890" w:tentative="1">
      <w:start w:val="1"/>
      <w:numFmt w:val="lowerLetter"/>
      <w:lvlText w:val="%8."/>
      <w:lvlJc w:val="left"/>
      <w:pPr>
        <w:ind w:left="5760" w:hanging="360"/>
      </w:pPr>
    </w:lvl>
    <w:lvl w:ilvl="8" w:tplc="30465890" w:tentative="1">
      <w:start w:val="1"/>
      <w:numFmt w:val="lowerRoman"/>
      <w:lvlText w:val="%9."/>
      <w:lvlJc w:val="right"/>
      <w:pPr>
        <w:ind w:left="6480" w:hanging="180"/>
      </w:pPr>
    </w:lvl>
  </w:abstractNum>
  <w:abstractNum w:abstractNumId="52894242">
    <w:multiLevelType w:val="hybridMultilevel"/>
    <w:lvl w:ilvl="0" w:tplc="41299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94242">
    <w:abstractNumId w:val="52894242"/>
  </w:num>
  <w:num w:numId="52894243">
    <w:abstractNumId w:val="528942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3827159" Type="http://schemas.microsoft.com/office/2011/relationships/commentsExtended" Target="commentsExtended.xml"/><Relationship Id="rId91746622fc9471684" Type="http://schemas.openxmlformats.org/officeDocument/2006/relationships/hyperlink" Target="https://gd.eppo.int/" TargetMode="External"/><Relationship Id="rId55316622fc9471a43" Type="http://schemas.openxmlformats.org/officeDocument/2006/relationships/hyperlink" Target="https://www.anses.fr/fr/system/files/SVEG2011sa0137Ra.pdf" TargetMode="External"/><Relationship Id="rId73336622fc9471aa9"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