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pruni (Xanthomonas campestris pv. pruni) XANTPR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Among cultivated plants, major hosts in which disease severity is commonly high, are: Prunus salicina, P. persica, P. armeniaca, P. dulcis. Minor hosts, in which the disease may be less severe owing to a certain degree of tolerance, are: P. domestica, P. avium, P. cerasus, and P. laurocerasus. Other hosts are Japanese apricot (P. mume), Chinese wild peach (P. davidiana), P. buergeriana, P. crassipes and P. donarium. Rootstocks are, in general, resistant to the disease. P. spinosa (sloethorn or blackthorn), native to Europe and widely present throughout the EU, is not known to be a host or a reservoir plant (EFSA PLH, 2014).</w:t>
      </w:r>
      <w:r>
        <w:rPr>
          <w:color w:val="0200C9"/>
          <w:sz w:val="24"/>
          <w:szCs w:val="24"/>
        </w:rPr>
        <w:br/>
        <w:t xml:space="preserve">For fruit and ornamental use: Experts proposed to continue the evaluation with a listing of the host at the genus level;</w:t>
      </w:r>
      <w:r>
        <w:rPr>
          <w:color w:val="0200C9"/>
          <w:sz w:val="24"/>
          <w:szCs w:val="24"/>
        </w:rPr>
        <w:br/>
        <w:t xml:space="preserve">For forestry use: Prunus avium is the only Prunus species specifically listed in Annex I of EU Directive 1999/105, however evaluation continues taking into consideration other potential Prunus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France (2014); Germany (2014); Italy (2014); Italy/Sicilia (1940); Italy/Sardegna (1992); Netherlands (2015); Romania (1992); Slovenia (2014); Spain (2016); Spain/Islas Baleares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926a7029ba4212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Prunus avium is covered by EPPO PM 4/29 Standard. However a forestry use is not mentioned. Even though the pest is listed in a PM 4 Standard, experts decided to continue the evaluation of this pest/host/intended use combination in regards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This organism will have most impact on stone fruit production, less for forestry and ornamental uses.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the disease is not important in forestry situations. The economic impact for forestry is estimated minimal and not unacceptable. As the Forestry and the Fruit production systems are usually separated, risk of transfer from forest to fruit production through rootstocks is estimated as low and is not considered. For the few cases where forestry plants are produced at the same site of production than fruit and ornamental plants (see comment from BE), these are addressed directly in the risk management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in the forestry sector. However, if Prunus avium for the forestry sector are produced at the same site of production as for fruit or ornamental Prunus, these plants must be inspected to comply with the measures set out for these sectors.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70136a7029ba42573" w:history="1">
        <w:r>
          <w:rPr>
            <w:color w:val="0200C9"/>
            <w:sz w:val="24"/>
            <w:szCs w:val="24"/>
          </w:rPr>
          <w:t xml:space="preserve">http://www.efsa.europa.eu/en/efsajournal/doc/3857.pdf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986980">
    <w:multiLevelType w:val="hybridMultilevel"/>
    <w:lvl w:ilvl="0" w:tplc="45773342">
      <w:start w:val="1"/>
      <w:numFmt w:val="decimal"/>
      <w:lvlText w:val="%1."/>
      <w:lvlJc w:val="left"/>
      <w:pPr>
        <w:ind w:left="720" w:hanging="360"/>
      </w:pPr>
    </w:lvl>
    <w:lvl w:ilvl="1" w:tplc="45773342" w:tentative="1">
      <w:start w:val="1"/>
      <w:numFmt w:val="lowerLetter"/>
      <w:lvlText w:val="%2."/>
      <w:lvlJc w:val="left"/>
      <w:pPr>
        <w:ind w:left="1440" w:hanging="360"/>
      </w:pPr>
    </w:lvl>
    <w:lvl w:ilvl="2" w:tplc="45773342" w:tentative="1">
      <w:start w:val="1"/>
      <w:numFmt w:val="lowerRoman"/>
      <w:lvlText w:val="%3."/>
      <w:lvlJc w:val="right"/>
      <w:pPr>
        <w:ind w:left="2160" w:hanging="180"/>
      </w:pPr>
    </w:lvl>
    <w:lvl w:ilvl="3" w:tplc="45773342" w:tentative="1">
      <w:start w:val="1"/>
      <w:numFmt w:val="decimal"/>
      <w:lvlText w:val="%4."/>
      <w:lvlJc w:val="left"/>
      <w:pPr>
        <w:ind w:left="2880" w:hanging="360"/>
      </w:pPr>
    </w:lvl>
    <w:lvl w:ilvl="4" w:tplc="45773342" w:tentative="1">
      <w:start w:val="1"/>
      <w:numFmt w:val="lowerLetter"/>
      <w:lvlText w:val="%5."/>
      <w:lvlJc w:val="left"/>
      <w:pPr>
        <w:ind w:left="3600" w:hanging="360"/>
      </w:pPr>
    </w:lvl>
    <w:lvl w:ilvl="5" w:tplc="45773342" w:tentative="1">
      <w:start w:val="1"/>
      <w:numFmt w:val="lowerRoman"/>
      <w:lvlText w:val="%6."/>
      <w:lvlJc w:val="right"/>
      <w:pPr>
        <w:ind w:left="4320" w:hanging="180"/>
      </w:pPr>
    </w:lvl>
    <w:lvl w:ilvl="6" w:tplc="45773342" w:tentative="1">
      <w:start w:val="1"/>
      <w:numFmt w:val="decimal"/>
      <w:lvlText w:val="%7."/>
      <w:lvlJc w:val="left"/>
      <w:pPr>
        <w:ind w:left="5040" w:hanging="360"/>
      </w:pPr>
    </w:lvl>
    <w:lvl w:ilvl="7" w:tplc="45773342" w:tentative="1">
      <w:start w:val="1"/>
      <w:numFmt w:val="lowerLetter"/>
      <w:lvlText w:val="%8."/>
      <w:lvlJc w:val="left"/>
      <w:pPr>
        <w:ind w:left="5760" w:hanging="360"/>
      </w:pPr>
    </w:lvl>
    <w:lvl w:ilvl="8" w:tplc="45773342" w:tentative="1">
      <w:start w:val="1"/>
      <w:numFmt w:val="lowerRoman"/>
      <w:lvlText w:val="%9."/>
      <w:lvlJc w:val="right"/>
      <w:pPr>
        <w:ind w:left="6480" w:hanging="180"/>
      </w:pPr>
    </w:lvl>
  </w:abstractNum>
  <w:abstractNum w:abstractNumId="98986979">
    <w:multiLevelType w:val="hybridMultilevel"/>
    <w:lvl w:ilvl="0" w:tplc="385585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986979">
    <w:abstractNumId w:val="98986979"/>
  </w:num>
  <w:num w:numId="98986980">
    <w:abstractNumId w:val="989869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0199584" Type="http://schemas.microsoft.com/office/2011/relationships/commentsExtended" Target="commentsExtended.xml"/><Relationship Id="rId77926a7029ba42127" Type="http://schemas.openxmlformats.org/officeDocument/2006/relationships/hyperlink" Target="https://gd.eppo.int/" TargetMode="External"/><Relationship Id="rId70136a7029ba42573" Type="http://schemas.openxmlformats.org/officeDocument/2006/relationships/hyperlink" Target="http://www.efsa.europa.eu/en/efsajournal/doc/385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