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Pectobacterium (Blackleg) (1PECBG)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Blackleg</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Questionnaires, 5 EU Member States (FI, FR, HR, NL, SI) and 2 EU Association (EUROPATAT, ESA) considered this entry as important. EUROPATAT, ESA, FI, FR, NL and SI agreed to keep Pectobacterium listed at the genus level (Blackleg symptoms are associated to a bacterial species complex, these bacteria cause similar damage, the work on species identification is still in progress, and identification at genus level might be the only economical and practical means to certify large amounts of seed potato material). HR proposed the listing of a limited number of species.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Pectobacterium carotovorum subsp. carotovorum is present in Finland, Netherlands, Scotland and France (Euphresco, 2015) and in lots of other EU Member States (CABI, 2016). Pectobacterium atrosepticum is present in Scotland, Finland and France (Euphresco, 2015) and in lots of other EU Member States (CABI, 2016). P. wasabiae is present in Scotland, Finland and France (Euphresco, 2015). P. carotovorum subsp. brasiliense is present in Scotland (limited), Switzerland and France.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Directives 2002/56/EC, 2014/20/EU and 2014/21/EU</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Listed in EPPO PM 4/28 (1) Standard as Erwinia spp. (At the time of the writing of this EPPO PM 4 Standard, some species were considered to belong to the genus Erwinia). However, in view of the complexity of the Blackleg problematic, and because it is currently listed on symptoms, 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most important means of dissemination for bacterial pathogens of potato is the movement of latently infected seed tubers. Dickeya spp. and Pectobacterium spp. can be carried on the tuber surface and in lenticels but is also likely to be found in the tuber vascular system. In Europe, there has been little or no correlation between Dickeya spp. isolated from river water and those found on potato. In Australia, however, irrigation water was found to be the likely source of infection of potatoes. Persistence of Dickeya spp. is recorded in soil for maximum a few weeks. However, persistence of Dickeya spp.</w:t>
      </w:r>
      <w:r>
        <w:rPr>
          <w:color w:val="0200C9"/>
          <w:sz w:val="24"/>
          <w:szCs w:val="24"/>
        </w:rPr>
        <w:br/>
        <w:t xml:space="preserve">for longer periods in association with crop residues in soil cannot be excluded (Toth et al., 2011).</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Inoculation with P. carotovorum subsp. brasiliense and Pectobacterium atrosepticum resulted in high disease incidences (75-95%). Inoculation with D. solani and P. wasabiae led to incidences between 5% and 25% (WUR: Euphresco, 2015). However the incidence of the different species and subspecies varied year to year (FN3PT-RD3PT: Euphresco, 2015). Modelling has shown that blackleg disease is likely to increase in the future in Europe with climate change (JHI: Euphresco, 2015). Strict tolerances in the Netherlands have led to increased direct losses of up to €30M annually as a result of downgrading and rejection of seed tuber stocks caused by blackleg. However, it is not possible to differentiate losses caused by Pectobacterium and Dickeya (Toth et al., 2011). Because disease symptoms are often indistinguishable between the different Pectobacterium spp. and Dickeya spp., economic impact is evaluated together for all bacteria of the blackleg complex.</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To implement a certification scheme is the only effective measure to prevent the presence of the pest over a certain threshold.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Euphresco (2015) Assessment of Dickeya sp. and Pectobacterium spp. on potatoes and ornamentals (Dickeya). Final report;</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Pectobacterium atrosepticum (potato blackleg disease). Invasive species compendium. CABI, Wallingford, UK. Available from </w:t>
      </w:r>
      <w:hyperlink r:id="rId127966290d7763692" w:history="1">
        <w:r>
          <w:rPr>
            <w:color w:val="0200C9"/>
            <w:sz w:val="24"/>
            <w:szCs w:val="24"/>
          </w:rPr>
          <w:t xml:space="preserve">http://www.cabi.org/isc/datasheet/21910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Pectobacterium carotovorum subsp. carotovorum (bacterial root rot of sweet potato). Invasive species compendium. CABI, Wallingford, UK. Available from </w:t>
      </w:r>
      <w:hyperlink r:id="rId437766290d77636ce" w:history="1">
        <w:r>
          <w:rPr>
            <w:color w:val="0200C9"/>
            <w:sz w:val="24"/>
            <w:szCs w:val="24"/>
          </w:rPr>
          <w:t xml:space="preserve">http://www.cabi.org/isc/datasheet/21913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Toth IK, van der Wolf JM, Saddler G, Lojkowska E, Helias V, Pirhonen M, Tsror L &amp; Elphinstone JG (2011) Dickeya species: an emerging problem for potato production in Europe. Plant Pathology 60, 385-399;</w:t>
      </w:r>
    </w:p>
    <w:p>
      <w:pPr>
        <w:numPr>
          <w:ilvl w:val="0"/>
          <w:numId w:val="1"/>
        </w:numPr>
        <w:spacing w:before="0" w:after="0" w:line="240" w:lineRule="auto"/>
        <w:jc w:val="left"/>
        <w:rPr>
          <w:color w:val="0200C9"/>
          <w:sz w:val="24"/>
          <w:szCs w:val="24"/>
        </w:rPr>
      </w:pPr>
      <w:r>
        <w:rPr>
          <w:color w:val="0200C9"/>
          <w:sz w:val="24"/>
          <w:szCs w:val="24"/>
        </w:rPr>
        <w:t xml:space="preserve">Werra et al. (2015) First report of potato blackleg caused by Pectobacterium carotovorum subsp. brasiliense in Switzerland. Plant Disease 99, 551-552;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87362">
    <w:multiLevelType w:val="hybridMultilevel"/>
    <w:lvl w:ilvl="0" w:tplc="61024518">
      <w:start w:val="1"/>
      <w:numFmt w:val="decimal"/>
      <w:lvlText w:val="%1."/>
      <w:lvlJc w:val="left"/>
      <w:pPr>
        <w:ind w:left="720" w:hanging="360"/>
      </w:pPr>
    </w:lvl>
    <w:lvl w:ilvl="1" w:tplc="61024518" w:tentative="1">
      <w:start w:val="1"/>
      <w:numFmt w:val="lowerLetter"/>
      <w:lvlText w:val="%2."/>
      <w:lvlJc w:val="left"/>
      <w:pPr>
        <w:ind w:left="1440" w:hanging="360"/>
      </w:pPr>
    </w:lvl>
    <w:lvl w:ilvl="2" w:tplc="61024518" w:tentative="1">
      <w:start w:val="1"/>
      <w:numFmt w:val="lowerRoman"/>
      <w:lvlText w:val="%3."/>
      <w:lvlJc w:val="right"/>
      <w:pPr>
        <w:ind w:left="2160" w:hanging="180"/>
      </w:pPr>
    </w:lvl>
    <w:lvl w:ilvl="3" w:tplc="61024518" w:tentative="1">
      <w:start w:val="1"/>
      <w:numFmt w:val="decimal"/>
      <w:lvlText w:val="%4."/>
      <w:lvlJc w:val="left"/>
      <w:pPr>
        <w:ind w:left="2880" w:hanging="360"/>
      </w:pPr>
    </w:lvl>
    <w:lvl w:ilvl="4" w:tplc="61024518" w:tentative="1">
      <w:start w:val="1"/>
      <w:numFmt w:val="lowerLetter"/>
      <w:lvlText w:val="%5."/>
      <w:lvlJc w:val="left"/>
      <w:pPr>
        <w:ind w:left="3600" w:hanging="360"/>
      </w:pPr>
    </w:lvl>
    <w:lvl w:ilvl="5" w:tplc="61024518" w:tentative="1">
      <w:start w:val="1"/>
      <w:numFmt w:val="lowerRoman"/>
      <w:lvlText w:val="%6."/>
      <w:lvlJc w:val="right"/>
      <w:pPr>
        <w:ind w:left="4320" w:hanging="180"/>
      </w:pPr>
    </w:lvl>
    <w:lvl w:ilvl="6" w:tplc="61024518" w:tentative="1">
      <w:start w:val="1"/>
      <w:numFmt w:val="decimal"/>
      <w:lvlText w:val="%7."/>
      <w:lvlJc w:val="left"/>
      <w:pPr>
        <w:ind w:left="5040" w:hanging="360"/>
      </w:pPr>
    </w:lvl>
    <w:lvl w:ilvl="7" w:tplc="61024518" w:tentative="1">
      <w:start w:val="1"/>
      <w:numFmt w:val="lowerLetter"/>
      <w:lvlText w:val="%8."/>
      <w:lvlJc w:val="left"/>
      <w:pPr>
        <w:ind w:left="5760" w:hanging="360"/>
      </w:pPr>
    </w:lvl>
    <w:lvl w:ilvl="8" w:tplc="61024518" w:tentative="1">
      <w:start w:val="1"/>
      <w:numFmt w:val="lowerRoman"/>
      <w:lvlText w:val="%9."/>
      <w:lvlJc w:val="right"/>
      <w:pPr>
        <w:ind w:left="6480" w:hanging="180"/>
      </w:pPr>
    </w:lvl>
  </w:abstractNum>
  <w:abstractNum w:abstractNumId="56787361">
    <w:multiLevelType w:val="hybridMultilevel"/>
    <w:lvl w:ilvl="0" w:tplc="48171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87361">
    <w:abstractNumId w:val="56787361"/>
  </w:num>
  <w:num w:numId="56787362">
    <w:abstractNumId w:val="567873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9809622" Type="http://schemas.microsoft.com/office/2011/relationships/commentsExtended" Target="commentsExtended.xml"/><Relationship Id="rId127966290d7763692" Type="http://schemas.openxmlformats.org/officeDocument/2006/relationships/hyperlink" Target="http://www.cabi.org/isc/datasheet/21910" TargetMode="External"/><Relationship Id="rId437766290d77636ce" Type="http://schemas.openxmlformats.org/officeDocument/2006/relationships/hyperlink" Target="http://www.cabi.org/isc/datasheet/219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