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Helicobasidium brebissonii (Dry rot ('Rot, other than ring rot or brown rot')) (HLCBBR)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Rot, other than ring rot or brown rot</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Seed potato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evaluated: Seed potato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Well known symptoms of Rhizoctonia crocorum (violet root rot) [teleomorph: Helicobasidium brebissonii] are red or violet spots due to the mycelium. However it can evolve in dry rot. Helicobasidium brebissonii (Teleomorph) is the preferred name to be used according to the seed potato SEWG.</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0200C9"/>
          <w:sz w:val="24"/>
          <w:szCs w:val="24"/>
        </w:rPr>
        <w:t xml:space="preserve">not evaluated</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Solanum tuberosum (SOLTU)</w:t>
      </w:r>
      <w:r>
        <w:rPr>
          <w:color w:val="000000"/>
          <w:sz w:val="24"/>
          <w:szCs w:val="24"/>
        </w:rPr>
        <w:t xml:space="preserve"> for the Seed potato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5 - Seed potato sector: Council Directive 2002/56/EC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[true]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Pest already listed in the EPPO PM 4 Standard under the dry/wet rot symptoms. Rhizoctonia crocorum (violet root rot) is characterized by well-known symptoms: red or violet spots due to the mycelium. However it can evolve in dry rot. As a consequence experts agreed to list this pest at the species level.</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384063">
    <w:multiLevelType w:val="hybridMultilevel"/>
    <w:lvl w:ilvl="0" w:tplc="79844307">
      <w:start w:val="1"/>
      <w:numFmt w:val="decimal"/>
      <w:lvlText w:val="%1."/>
      <w:lvlJc w:val="left"/>
      <w:pPr>
        <w:ind w:left="720" w:hanging="360"/>
      </w:pPr>
    </w:lvl>
    <w:lvl w:ilvl="1" w:tplc="79844307" w:tentative="1">
      <w:start w:val="1"/>
      <w:numFmt w:val="lowerLetter"/>
      <w:lvlText w:val="%2."/>
      <w:lvlJc w:val="left"/>
      <w:pPr>
        <w:ind w:left="1440" w:hanging="360"/>
      </w:pPr>
    </w:lvl>
    <w:lvl w:ilvl="2" w:tplc="79844307" w:tentative="1">
      <w:start w:val="1"/>
      <w:numFmt w:val="lowerRoman"/>
      <w:lvlText w:val="%3."/>
      <w:lvlJc w:val="right"/>
      <w:pPr>
        <w:ind w:left="2160" w:hanging="180"/>
      </w:pPr>
    </w:lvl>
    <w:lvl w:ilvl="3" w:tplc="79844307" w:tentative="1">
      <w:start w:val="1"/>
      <w:numFmt w:val="decimal"/>
      <w:lvlText w:val="%4."/>
      <w:lvlJc w:val="left"/>
      <w:pPr>
        <w:ind w:left="2880" w:hanging="360"/>
      </w:pPr>
    </w:lvl>
    <w:lvl w:ilvl="4" w:tplc="79844307" w:tentative="1">
      <w:start w:val="1"/>
      <w:numFmt w:val="lowerLetter"/>
      <w:lvlText w:val="%5."/>
      <w:lvlJc w:val="left"/>
      <w:pPr>
        <w:ind w:left="3600" w:hanging="360"/>
      </w:pPr>
    </w:lvl>
    <w:lvl w:ilvl="5" w:tplc="79844307" w:tentative="1">
      <w:start w:val="1"/>
      <w:numFmt w:val="lowerRoman"/>
      <w:lvlText w:val="%6."/>
      <w:lvlJc w:val="right"/>
      <w:pPr>
        <w:ind w:left="4320" w:hanging="180"/>
      </w:pPr>
    </w:lvl>
    <w:lvl w:ilvl="6" w:tplc="79844307" w:tentative="1">
      <w:start w:val="1"/>
      <w:numFmt w:val="decimal"/>
      <w:lvlText w:val="%7."/>
      <w:lvlJc w:val="left"/>
      <w:pPr>
        <w:ind w:left="5040" w:hanging="360"/>
      </w:pPr>
    </w:lvl>
    <w:lvl w:ilvl="7" w:tplc="79844307" w:tentative="1">
      <w:start w:val="1"/>
      <w:numFmt w:val="lowerLetter"/>
      <w:lvlText w:val="%8."/>
      <w:lvlJc w:val="left"/>
      <w:pPr>
        <w:ind w:left="5760" w:hanging="360"/>
      </w:pPr>
    </w:lvl>
    <w:lvl w:ilvl="8" w:tplc="79844307" w:tentative="1">
      <w:start w:val="1"/>
      <w:numFmt w:val="lowerRoman"/>
      <w:lvlText w:val="%9."/>
      <w:lvlJc w:val="right"/>
      <w:pPr>
        <w:ind w:left="6480" w:hanging="180"/>
      </w:pPr>
    </w:lvl>
  </w:abstractNum>
  <w:abstractNum w:abstractNumId="68384062">
    <w:multiLevelType w:val="hybridMultilevel"/>
    <w:lvl w:ilvl="0" w:tplc="210576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384062">
    <w:abstractNumId w:val="68384062"/>
  </w:num>
  <w:num w:numId="68384063">
    <w:abstractNumId w:val="6838406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33470065"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