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destructor DITYDE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Listing of hosts at the genus level is coherent because D. destructor is highly polyphagous.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(2001); Czech Republic (2001); Estonia (2008); France (2001); Germany (2014); Greece (2001); Hungary (1992); Ireland (1998); Latvia (1998); Luxembourg (2001); Netherlands (2015); Poland (2012); Romania (2011); Slovakia (1996); Sweden (1992); United Kingdom (2001); United Kingdom/England (2014); United Kingdom/Scotland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Standing Committee agreed in February 2015 to request EFSA for a complete Pest Risk Assessment before taking a decision about the future regulatory status of this pest in the EU (EU COM, 2015). This complete PRA was published in 2016 (EFSA-PLH 2016). Data of the presence of this pest on the EU territory are available in EPPO Global Database (</w:t>
      </w:r>
      <w:hyperlink r:id="rId78796a70295c0ebb7" w:history="1">
        <w:r>
          <w:rPr>
            <w:color w:val="0200C9"/>
            <w:sz w:val="24"/>
            <w:szCs w:val="24"/>
          </w:rPr>
          <w:t xml:space="preserve">https://gd.eppo.int/</w:t>
        </w:r>
      </w:hyperlink>
      <w:r>
        <w:rPr>
          <w:color w:val="0200C9"/>
          <w:sz w:val="24"/>
          <w:szCs w:val="24"/>
        </w:rPr>
        <w:t xml:space="preserve">). The nematode is sporadically present in the majority of EU Member States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Tulipa (1TULG)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Miniature cultivars and their hybrids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EPPO classification scheme PM 4/13(2) requires a nil tolerance at GSI for Grade A material intended for further propagation and for Grade B intended for flowering, and a 1% tolerance is permitted at dry bulb inspection for Grade B, only (EPPO, 2002).</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D. destructor attacks a wide range of ornamental and vegetable species, and EFSA concludes tulip is a good host plant with relatively large numbers of reports until 1984, with numbers decreasing since then (EFSA-PLH 2016). It was detected in lots of Tulipa for export and in 0 out of 16,060 field inspections in 2015 (Personal communication by P. Knippels, in EFSA-PLH 2016). Host plants infected by D. destructor are crucial for establishment of new field infestations, however the soil infection route is also important, and weed hosts seem to be important for maintaining nematode soil infestations both inside and outside crop fields. In addition, as D. destructor is very polyphagous, infested bulbs, rhizomes and roots of other host plants are important sources for establishment of new infestations. D. destructor is mycophagous and can survive in soil in the absence of host plants by feeding on many soil borne fungi (EFSA, 2014).</w:t>
      </w:r>
      <w:r>
        <w:rPr>
          <w:color w:val="0200C9"/>
          <w:sz w:val="24"/>
          <w:szCs w:val="24"/>
        </w:rPr>
        <w:br/>
        <w:t xml:space="preserve">All these different sources of infestation are possible, however due to the known good host status of D. destructor in Tulipa overall, plants for planting are considered to be a significant pathway compared to other pathways for this pest/host/intended use combination.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w:t>
      </w:r>
      <w:r>
        <w:rPr>
          <w:color w:val="000000"/>
          <w:sz w:val="24"/>
          <w:szCs w:val="24"/>
          <w:u w:val="single"/>
        </w:rPr>
        <w:br/>
        <w:t xml:space="preserve">Justification:</w:t>
      </w:r>
      <w:r>
        <w:rPr>
          <w:color w:val="000000"/>
          <w:sz w:val="24"/>
          <w:szCs w:val="24"/>
        </w:rPr>
        <w:t xml:space="preserve">
</w:t>
      </w:r>
      <w:r>
        <w:rPr>
          <w:color w:val="0200C9"/>
          <w:sz w:val="24"/>
          <w:szCs w:val="24"/>
        </w:rPr>
        <w:t xml:space="preserve">The reproductive potential of D. destructor is high. It can be assumed that even a small population of D. destructor, present in the soil at the beginning of the growing season, could develop into a very large population causing severe damage to infested host plant. D. destructor can cause significant damage to the below-ground parts (roots, tubers, bulbs) of host crops such as potato and several ornamental plants. It reduces harvest yields of host crops and causes additional damage during storage. In recent years, potato tuber nematodes have caused serious problems on iris and garlic crops in Japan (EFSA, 2014).</w:t>
      </w:r>
      <w:r>
        <w:rPr>
          <w:color w:val="0200C9"/>
          <w:sz w:val="24"/>
          <w:szCs w:val="24"/>
        </w:rPr>
        <w:br/>
        <w:t xml:space="preserve">However, D. destructor cannot survive dessication which may be one of the reasons why this species is much less of a problem than D. dipsaci.</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the pest is qualified for RNQP status based on EPPO PM 4 Standard, however the requirement for absence of visual symptoms on the traded material (current general 'Substantially free from' requirement in the EU) is considered to be sufficient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Ditylenchus destructor Thorne. EFSA Journal 2014;12(9):3834. 31 pp. doi:10.2903/j.efsa.2014.3834;</w:t>
      </w:r>
    </w:p>
    <w:p>
      <w:pPr>
        <w:numPr>
          <w:ilvl w:val="0"/>
          <w:numId w:val="1"/>
        </w:numPr>
        <w:spacing w:before="0" w:after="0" w:line="240" w:lineRule="auto"/>
        <w:jc w:val="left"/>
        <w:rPr>
          <w:color w:val="0200C9"/>
          <w:sz w:val="24"/>
          <w:szCs w:val="24"/>
        </w:rPr>
      </w:pPr>
      <w:r>
        <w:rPr>
          <w:color w:val="0200C9"/>
          <w:sz w:val="24"/>
          <w:szCs w:val="24"/>
        </w:rPr>
        <w:t xml:space="preserve">EPPO (2002) PM 4/13(2) Classification scheme for Tulip. Bulletin OEPP/EPPO Bulletin 32, 115–121;</w:t>
      </w:r>
    </w:p>
    <w:p>
      <w:pPr>
        <w:numPr>
          <w:ilvl w:val="0"/>
          <w:numId w:val="1"/>
        </w:numPr>
        <w:spacing w:before="0" w:after="0" w:line="240" w:lineRule="auto"/>
        <w:jc w:val="left"/>
        <w:rPr>
          <w:color w:val="0200C9"/>
          <w:sz w:val="24"/>
          <w:szCs w:val="24"/>
        </w:rPr>
      </w:pPr>
      <w:r>
        <w:rPr>
          <w:color w:val="0200C9"/>
          <w:sz w:val="24"/>
          <w:szCs w:val="24"/>
        </w:rPr>
        <w:t xml:space="preserve">EU COM (2015) Recommendation of the Working Group on the Annexes of the Council Directive 2000/29/EC – Section II – Listing of Harmful Organisms as regards the future listing of Ditylenchus destructor Thorne;</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(2016) Scientific opinion on the risk to plant health of Ditylenchus destructor for the EU territory. EFSA Journal 14(12):4602, 124 pp. doi:10.2903/j.efsa. 2016.4602;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618409">
    <w:multiLevelType w:val="hybridMultilevel"/>
    <w:lvl w:ilvl="0" w:tplc="42534371">
      <w:start w:val="1"/>
      <w:numFmt w:val="decimal"/>
      <w:lvlText w:val="%1."/>
      <w:lvlJc w:val="left"/>
      <w:pPr>
        <w:ind w:left="720" w:hanging="360"/>
      </w:pPr>
    </w:lvl>
    <w:lvl w:ilvl="1" w:tplc="42534371" w:tentative="1">
      <w:start w:val="1"/>
      <w:numFmt w:val="lowerLetter"/>
      <w:lvlText w:val="%2."/>
      <w:lvlJc w:val="left"/>
      <w:pPr>
        <w:ind w:left="1440" w:hanging="360"/>
      </w:pPr>
    </w:lvl>
    <w:lvl w:ilvl="2" w:tplc="42534371" w:tentative="1">
      <w:start w:val="1"/>
      <w:numFmt w:val="lowerRoman"/>
      <w:lvlText w:val="%3."/>
      <w:lvlJc w:val="right"/>
      <w:pPr>
        <w:ind w:left="2160" w:hanging="180"/>
      </w:pPr>
    </w:lvl>
    <w:lvl w:ilvl="3" w:tplc="42534371" w:tentative="1">
      <w:start w:val="1"/>
      <w:numFmt w:val="decimal"/>
      <w:lvlText w:val="%4."/>
      <w:lvlJc w:val="left"/>
      <w:pPr>
        <w:ind w:left="2880" w:hanging="360"/>
      </w:pPr>
    </w:lvl>
    <w:lvl w:ilvl="4" w:tplc="42534371" w:tentative="1">
      <w:start w:val="1"/>
      <w:numFmt w:val="lowerLetter"/>
      <w:lvlText w:val="%5."/>
      <w:lvlJc w:val="left"/>
      <w:pPr>
        <w:ind w:left="3600" w:hanging="360"/>
      </w:pPr>
    </w:lvl>
    <w:lvl w:ilvl="5" w:tplc="42534371" w:tentative="1">
      <w:start w:val="1"/>
      <w:numFmt w:val="lowerRoman"/>
      <w:lvlText w:val="%6."/>
      <w:lvlJc w:val="right"/>
      <w:pPr>
        <w:ind w:left="4320" w:hanging="180"/>
      </w:pPr>
    </w:lvl>
    <w:lvl w:ilvl="6" w:tplc="42534371" w:tentative="1">
      <w:start w:val="1"/>
      <w:numFmt w:val="decimal"/>
      <w:lvlText w:val="%7."/>
      <w:lvlJc w:val="left"/>
      <w:pPr>
        <w:ind w:left="5040" w:hanging="360"/>
      </w:pPr>
    </w:lvl>
    <w:lvl w:ilvl="7" w:tplc="42534371" w:tentative="1">
      <w:start w:val="1"/>
      <w:numFmt w:val="lowerLetter"/>
      <w:lvlText w:val="%8."/>
      <w:lvlJc w:val="left"/>
      <w:pPr>
        <w:ind w:left="5760" w:hanging="360"/>
      </w:pPr>
    </w:lvl>
    <w:lvl w:ilvl="8" w:tplc="42534371" w:tentative="1">
      <w:start w:val="1"/>
      <w:numFmt w:val="lowerRoman"/>
      <w:lvlText w:val="%9."/>
      <w:lvlJc w:val="right"/>
      <w:pPr>
        <w:ind w:left="6480" w:hanging="180"/>
      </w:pPr>
    </w:lvl>
  </w:abstractNum>
  <w:abstractNum w:abstractNumId="68618408">
    <w:multiLevelType w:val="hybridMultilevel"/>
    <w:lvl w:ilvl="0" w:tplc="914433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618408">
    <w:abstractNumId w:val="68618408"/>
  </w:num>
  <w:num w:numId="68618409">
    <w:abstractNumId w:val="686184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42404782" Type="http://schemas.microsoft.com/office/2011/relationships/commentsExtended" Target="commentsExtended.xml"/><Relationship Id="rId78796a70295c0ebb7"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