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destructor (DITYDE)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(2001); Czech Republic (2001); Estonia (2008); France (2001); Germany (2014); Greece (2001); Hungary (1992); Ireland (1998); Latvia (1998); Luxembourg (2001); Netherlands (2015); Poland (2012); Romania (2011); Slovakia (1996); Sweden (1992); United Kingdom (2001); United Kingdom/England (2014); United Kingdom/Scotland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Standing Committee agreed in February 2015 to request EFSA for a complete Pest Risk Assessment before taking a decision about the future regulatory status of this pest in the EU (EU COM, 2015). This complete PRA was published in 2016 (EFSA-PLH 2016). Data of the presence of this pest on the EU territory are available in EPPO Global Database (</w:t>
      </w:r>
      <w:hyperlink r:id="rId5569662b2f8b812e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nematode is sporadically present in the majority of EU Member States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Iris (1IRIG)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Miniature cultivars and their hybrids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listing as an RNQP: the pest is qualified for RNQP status based on EPPO PM 4 Standard, however the requirement for absence of visual symptoms on the traded material (current general 'Substantially free from' requirement in the EU) is considered to be sufficient on this host.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the pest categorisation of Ditylenchus destructor Thorne. EFSA Journal 2014;12(9):3834. 31 pp. doi:10.2903/j.efsa.2014.3834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(2015) Recommendation of the Working Group on the Annexes of the Council Directive 2000/29/EC – Section II – Listing of Harmful Organisms as regards the future listing of Ditylenchus destructor Thorne;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(2016) Scientific opinion on the risk to plant health of Ditylenchus destructor for the EU territory. EFSA Journal 14(12):4602, 124 pp. doi:10.2903/j.efsa. 2016.4602;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517964">
    <w:multiLevelType w:val="hybridMultilevel"/>
    <w:lvl w:ilvl="0" w:tplc="56782982">
      <w:start w:val="1"/>
      <w:numFmt w:val="decimal"/>
      <w:lvlText w:val="%1."/>
      <w:lvlJc w:val="left"/>
      <w:pPr>
        <w:ind w:left="720" w:hanging="360"/>
      </w:pPr>
    </w:lvl>
    <w:lvl w:ilvl="1" w:tplc="56782982" w:tentative="1">
      <w:start w:val="1"/>
      <w:numFmt w:val="lowerLetter"/>
      <w:lvlText w:val="%2."/>
      <w:lvlJc w:val="left"/>
      <w:pPr>
        <w:ind w:left="1440" w:hanging="360"/>
      </w:pPr>
    </w:lvl>
    <w:lvl w:ilvl="2" w:tplc="56782982" w:tentative="1">
      <w:start w:val="1"/>
      <w:numFmt w:val="lowerRoman"/>
      <w:lvlText w:val="%3."/>
      <w:lvlJc w:val="right"/>
      <w:pPr>
        <w:ind w:left="2160" w:hanging="180"/>
      </w:pPr>
    </w:lvl>
    <w:lvl w:ilvl="3" w:tplc="56782982" w:tentative="1">
      <w:start w:val="1"/>
      <w:numFmt w:val="decimal"/>
      <w:lvlText w:val="%4."/>
      <w:lvlJc w:val="left"/>
      <w:pPr>
        <w:ind w:left="2880" w:hanging="360"/>
      </w:pPr>
    </w:lvl>
    <w:lvl w:ilvl="4" w:tplc="56782982" w:tentative="1">
      <w:start w:val="1"/>
      <w:numFmt w:val="lowerLetter"/>
      <w:lvlText w:val="%5."/>
      <w:lvlJc w:val="left"/>
      <w:pPr>
        <w:ind w:left="3600" w:hanging="360"/>
      </w:pPr>
    </w:lvl>
    <w:lvl w:ilvl="5" w:tplc="56782982" w:tentative="1">
      <w:start w:val="1"/>
      <w:numFmt w:val="lowerRoman"/>
      <w:lvlText w:val="%6."/>
      <w:lvlJc w:val="right"/>
      <w:pPr>
        <w:ind w:left="4320" w:hanging="180"/>
      </w:pPr>
    </w:lvl>
    <w:lvl w:ilvl="6" w:tplc="56782982" w:tentative="1">
      <w:start w:val="1"/>
      <w:numFmt w:val="decimal"/>
      <w:lvlText w:val="%7."/>
      <w:lvlJc w:val="left"/>
      <w:pPr>
        <w:ind w:left="5040" w:hanging="360"/>
      </w:pPr>
    </w:lvl>
    <w:lvl w:ilvl="7" w:tplc="56782982" w:tentative="1">
      <w:start w:val="1"/>
      <w:numFmt w:val="lowerLetter"/>
      <w:lvlText w:val="%8."/>
      <w:lvlJc w:val="left"/>
      <w:pPr>
        <w:ind w:left="5760" w:hanging="360"/>
      </w:pPr>
    </w:lvl>
    <w:lvl w:ilvl="8" w:tplc="5678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17963">
    <w:multiLevelType w:val="hybridMultilevel"/>
    <w:lvl w:ilvl="0" w:tplc="6142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517963">
    <w:abstractNumId w:val="48517963"/>
  </w:num>
  <w:num w:numId="48517964">
    <w:abstractNumId w:val="485179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7217490" Type="http://schemas.microsoft.com/office/2011/relationships/commentsExtended" Target="commentsExtended.xml"/><Relationship Id="rId5569662b2f8b812e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