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destructor DITYDE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(2001); Czech Republic (2001); Estonia (2008); France (2001); Germany (2014); Greece (2001); Hungary (1992); Ireland (1998); Latvia (1998); Luxembourg (2001); Netherlands (2015); Poland (2012); Romania (2011); Slovakia (1996); Sweden (1992); United Kingdom (2001); United Kingdom/England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Standing Committee agreed in February 2015 to request EFSA for a complete Pest Risk Assessment before taking a decision about the future regulatory status of this pest in the EU (EU COM, 2015). This complete PRA was published in 2016 (EFSA-PLH 2016). Data of the presence of this pest on the EU territory are available in EPPO Global Database (</w:t>
      </w:r>
      <w:hyperlink r:id="rId86896a66da14043a5" w:history="1">
        <w:r>
          <w:rPr>
            <w:color w:val="0200C9"/>
            <w:sz w:val="24"/>
            <w:szCs w:val="24"/>
          </w:rPr>
          <w:t xml:space="preserve">https://gd.eppo.int/</w:t>
        </w:r>
      </w:hyperlink>
      <w:r>
        <w:rPr>
          <w:color w:val="0200C9"/>
          <w:sz w:val="24"/>
          <w:szCs w:val="24"/>
        </w:rPr>
        <w:t xml:space="preserve">). The nematode is sporadically present in the majority of EU Member States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Hyacinthus (1HYAG)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Miniature cultivars and their hybrids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D. destructor attacks a wide range of ornamental and vegetable species, however EFSA quotes only two references, one from 1984 listing hyacinth as a host (only extract available) and one mentioning bulb nematode of iris, narcissus and hyacinth (indistinguishable morphologically from D. destructor), but no other details. However EPPO's classification scheme states Ditylenchus destructor causes whitish or light green spots or stripes on the leaves and flower parts. Infested bulbs, when cut open, show the tissues of some or all scales to be dry and granular, and light or dark brown in colour. Heavily infested bulbs can dry completely during storage, and a nil tolerance for all Ditylenchus spp is required (EPPO 2002).</w:t>
      </w:r>
      <w:r>
        <w:rPr>
          <w:color w:val="0200C9"/>
          <w:sz w:val="24"/>
          <w:szCs w:val="24"/>
        </w:rPr>
        <w:br/>
        <w:t xml:space="preserve">The conclusion by EFSA was that Hyacinthus is probably a host plant (EFSA-PLH 2016).</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The reproductive potential of D. destructor is high. It can be assumed that even a small population of D. destructor, present in the soil at the beginning of the growing season, could develop into a very large population causing severe damage to infested host plant. D. destructor can cause significant damage to the below-ground parts (roots, tubers, bulbs) of host crops such as potato and several ornamental plants. It reduces harvest yields of host crops and causes additional damage during storage. In recent years, potato tuber nematodes have caused serious problems on iris and garlic crops in Japan (EFSA, 2014).</w:t>
      </w:r>
      <w:r>
        <w:rPr>
          <w:color w:val="0200C9"/>
          <w:sz w:val="24"/>
          <w:szCs w:val="24"/>
        </w:rPr>
        <w:br/>
        <w:t xml:space="preserve">However, D. destructor cannot survive dessication which may be one of the reasons why this species is much less of a problem than D. dipsaci.</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the pest is qualified for RNQP status based on EPPO PM 4 Standard, however the requirement for absence of visual symptoms on the traded material (current general 'Substantially free from' requirement in the EU) is considered to be sufficient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Ditylenchus destructor Thorne. EFSA Journal 2014;12(9):3834. 31 pp. doi:10.2903/j.efsa.2014.3834</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Ditylenchus destructor Thorne;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(2016) Scientific opinion on the risk to plant health of Ditylenchus destructor for the EU territory. EFSA Journal 14(12):4602, 124 pp. doi:10.2903/j.efsa. 2016.4602;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098710">
    <w:multiLevelType w:val="hybridMultilevel"/>
    <w:lvl w:ilvl="0" w:tplc="52292766">
      <w:start w:val="1"/>
      <w:numFmt w:val="decimal"/>
      <w:lvlText w:val="%1."/>
      <w:lvlJc w:val="left"/>
      <w:pPr>
        <w:ind w:left="720" w:hanging="360"/>
      </w:pPr>
    </w:lvl>
    <w:lvl w:ilvl="1" w:tplc="52292766" w:tentative="1">
      <w:start w:val="1"/>
      <w:numFmt w:val="lowerLetter"/>
      <w:lvlText w:val="%2."/>
      <w:lvlJc w:val="left"/>
      <w:pPr>
        <w:ind w:left="1440" w:hanging="360"/>
      </w:pPr>
    </w:lvl>
    <w:lvl w:ilvl="2" w:tplc="52292766" w:tentative="1">
      <w:start w:val="1"/>
      <w:numFmt w:val="lowerRoman"/>
      <w:lvlText w:val="%3."/>
      <w:lvlJc w:val="right"/>
      <w:pPr>
        <w:ind w:left="2160" w:hanging="180"/>
      </w:pPr>
    </w:lvl>
    <w:lvl w:ilvl="3" w:tplc="52292766" w:tentative="1">
      <w:start w:val="1"/>
      <w:numFmt w:val="decimal"/>
      <w:lvlText w:val="%4."/>
      <w:lvlJc w:val="left"/>
      <w:pPr>
        <w:ind w:left="2880" w:hanging="360"/>
      </w:pPr>
    </w:lvl>
    <w:lvl w:ilvl="4" w:tplc="52292766" w:tentative="1">
      <w:start w:val="1"/>
      <w:numFmt w:val="lowerLetter"/>
      <w:lvlText w:val="%5."/>
      <w:lvlJc w:val="left"/>
      <w:pPr>
        <w:ind w:left="3600" w:hanging="360"/>
      </w:pPr>
    </w:lvl>
    <w:lvl w:ilvl="5" w:tplc="52292766" w:tentative="1">
      <w:start w:val="1"/>
      <w:numFmt w:val="lowerRoman"/>
      <w:lvlText w:val="%6."/>
      <w:lvlJc w:val="right"/>
      <w:pPr>
        <w:ind w:left="4320" w:hanging="180"/>
      </w:pPr>
    </w:lvl>
    <w:lvl w:ilvl="6" w:tplc="52292766" w:tentative="1">
      <w:start w:val="1"/>
      <w:numFmt w:val="decimal"/>
      <w:lvlText w:val="%7."/>
      <w:lvlJc w:val="left"/>
      <w:pPr>
        <w:ind w:left="5040" w:hanging="360"/>
      </w:pPr>
    </w:lvl>
    <w:lvl w:ilvl="7" w:tplc="52292766" w:tentative="1">
      <w:start w:val="1"/>
      <w:numFmt w:val="lowerLetter"/>
      <w:lvlText w:val="%8."/>
      <w:lvlJc w:val="left"/>
      <w:pPr>
        <w:ind w:left="5760" w:hanging="360"/>
      </w:pPr>
    </w:lvl>
    <w:lvl w:ilvl="8" w:tplc="52292766" w:tentative="1">
      <w:start w:val="1"/>
      <w:numFmt w:val="lowerRoman"/>
      <w:lvlText w:val="%9."/>
      <w:lvlJc w:val="right"/>
      <w:pPr>
        <w:ind w:left="6480" w:hanging="180"/>
      </w:pPr>
    </w:lvl>
  </w:abstractNum>
  <w:abstractNum w:abstractNumId="74098709">
    <w:multiLevelType w:val="hybridMultilevel"/>
    <w:lvl w:ilvl="0" w:tplc="273626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098709">
    <w:abstractNumId w:val="74098709"/>
  </w:num>
  <w:num w:numId="74098710">
    <w:abstractNumId w:val="740987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1892831" Type="http://schemas.microsoft.com/office/2011/relationships/commentsExtended" Target="commentsExtended.xml"/><Relationship Id="rId86896a66da14043a5"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