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Viteus vitifoliae (Daktulosphaira vitifoliae) VITEVI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(2015); Bulgaria (2011); Croatia (2011); Czech Republic (2011); France (2011); France/Corse (1982); Germany (2011); Greece (2007); Hungary (1992); Italy (1998); Italy/Sicilia (1982); Italy/Sardegna (2012); Luxembourg (1988); Malta (2011); Poland (2011); Portugal (2011); Portugal/Azores (2005); Portugal/Madeira (2008); Romania (2011); Slovakia (2011); Slovenia (2011); Spain (2016); Spain/Islas Baleares (2011); United Kingdom (2011); United Kingdom/England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1746a7029cae8776"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Vitis (1VITG)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for the fruit sector, NL, HR and FR asked for deregulation arguing that the economic impact is acceptable with regards to the intended use. As a consequence, full methodology is applied for this pest. Remark: the pest is only controlled visually in the EPPO PM 4/8(2)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Grapevine is occasionally grown as an ornamental plant e.g. Roger's Red, an interspecific hybrid between wild grape (Vitis californica) and the V. vinifera cv. Alicante Bouschet, and Claret Vine (V. vinifera cv. Purpurea Nana) in North America and ornamental vine Vitis coignetiae in Europe. Therefore the conclusions from the Vitis sector may be used:</w:t>
      </w:r>
      <w:r>
        <w:rPr>
          <w:color w:val="0200C9"/>
          <w:sz w:val="24"/>
          <w:szCs w:val="24"/>
        </w:rPr>
        <w:br/>
        <w:t xml:space="preserve">The IIA2 AWG concluded that Vitis planting material is the main pathway of spreading. The EFSA Panel focused on the analysis of available risk reduction options against entry and spread and states the only relevant pathway is plants intended for planting (EFSA PLH, 2014). Other sources of potential infestation of clean plants are by natural spread although the pest does not actively disperse over long distances, from survival in the soil for up to five years without its host, and by human assistance from one field to another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The pest is already very widespread in the risk assessment area, occurring almost everywhere Vitis plants are present. Grafting with resistant rootstocks throughout the EU ensures that the production of fruit and plants for planting is rarely affected by phylloxera infestations and, if so, only at a limited level (EFSA PLH, 2014). EFSA also mentions that, however, the impacts in terms of yield, fruit quality and vine vigour have rarely been quantified. Two reports describe severe infestations can lead to withering and even the death of vines and root infestation usually kills vines in 3 to 10 years. The IIA2 AWG explains that several authors refer to phylloxera as a permanent biotic stress factor. These reports describe yield reductions, reduced plant vigour, decreased frost resistance and reduced longevity due to the presence of phylloxera on the roots of grafted vines. Moreover, frequently the indirect damage produced by pathogenic fungi and nematodes entering damaged roots is the final cause of plant decline. Thus, V. vitifoliae has an impact on the intended use of plants for planting (EU COM, 2016). Impact is rated as massive on ungrafted plants, as outbreaks of phylloxera where plants are not grafted can readily have dramatic consequences on the production of Vitis in fruit and plants for planting except in some areas where soil conditions are not suitable (EFSA PLH, 2014). Hence infestation in marketed ungrafted plants for planting are likely to have a serious impact.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Massive</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Only grafted plants survive to the disease. Impact is rated as massive on ungrafted plants, as outbreaks of phylloxera where plants are not grafted can readily have dramatic consequences on the production of Vitis in fruit and plants for planting (EFSA PLH, 2014).</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However the requirement for absence of visual symptoms on the traded material (current general 'Substantially free from' requirement in the EU) is considered to be sufficient to mitigate the risk in the EU. Areas which are free from the pest should be protected as ‘protected zones’, with additional measures needed to mitigate the risks from relevant pathways including ornamental vitis.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risk to plant health posed by Daktulosphaira vitifoliae (Fitch), in the EU territory, with the identification and evaluation of risk reduction options. EFSA Journal 2014;12(5):3678, 67 pp. doi:10.2903/j.efsa.2014.3678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Daktulosphaira vitifoliae (Fitch);</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080100">
    <w:multiLevelType w:val="hybridMultilevel"/>
    <w:lvl w:ilvl="0" w:tplc="65828869">
      <w:start w:val="1"/>
      <w:numFmt w:val="decimal"/>
      <w:lvlText w:val="%1."/>
      <w:lvlJc w:val="left"/>
      <w:pPr>
        <w:ind w:left="720" w:hanging="360"/>
      </w:pPr>
    </w:lvl>
    <w:lvl w:ilvl="1" w:tplc="65828869" w:tentative="1">
      <w:start w:val="1"/>
      <w:numFmt w:val="lowerLetter"/>
      <w:lvlText w:val="%2."/>
      <w:lvlJc w:val="left"/>
      <w:pPr>
        <w:ind w:left="1440" w:hanging="360"/>
      </w:pPr>
    </w:lvl>
    <w:lvl w:ilvl="2" w:tplc="65828869" w:tentative="1">
      <w:start w:val="1"/>
      <w:numFmt w:val="lowerRoman"/>
      <w:lvlText w:val="%3."/>
      <w:lvlJc w:val="right"/>
      <w:pPr>
        <w:ind w:left="2160" w:hanging="180"/>
      </w:pPr>
    </w:lvl>
    <w:lvl w:ilvl="3" w:tplc="65828869" w:tentative="1">
      <w:start w:val="1"/>
      <w:numFmt w:val="decimal"/>
      <w:lvlText w:val="%4."/>
      <w:lvlJc w:val="left"/>
      <w:pPr>
        <w:ind w:left="2880" w:hanging="360"/>
      </w:pPr>
    </w:lvl>
    <w:lvl w:ilvl="4" w:tplc="65828869" w:tentative="1">
      <w:start w:val="1"/>
      <w:numFmt w:val="lowerLetter"/>
      <w:lvlText w:val="%5."/>
      <w:lvlJc w:val="left"/>
      <w:pPr>
        <w:ind w:left="3600" w:hanging="360"/>
      </w:pPr>
    </w:lvl>
    <w:lvl w:ilvl="5" w:tplc="65828869" w:tentative="1">
      <w:start w:val="1"/>
      <w:numFmt w:val="lowerRoman"/>
      <w:lvlText w:val="%6."/>
      <w:lvlJc w:val="right"/>
      <w:pPr>
        <w:ind w:left="4320" w:hanging="180"/>
      </w:pPr>
    </w:lvl>
    <w:lvl w:ilvl="6" w:tplc="65828869" w:tentative="1">
      <w:start w:val="1"/>
      <w:numFmt w:val="decimal"/>
      <w:lvlText w:val="%7."/>
      <w:lvlJc w:val="left"/>
      <w:pPr>
        <w:ind w:left="5040" w:hanging="360"/>
      </w:pPr>
    </w:lvl>
    <w:lvl w:ilvl="7" w:tplc="65828869" w:tentative="1">
      <w:start w:val="1"/>
      <w:numFmt w:val="lowerLetter"/>
      <w:lvlText w:val="%8."/>
      <w:lvlJc w:val="left"/>
      <w:pPr>
        <w:ind w:left="5760" w:hanging="360"/>
      </w:pPr>
    </w:lvl>
    <w:lvl w:ilvl="8" w:tplc="65828869" w:tentative="1">
      <w:start w:val="1"/>
      <w:numFmt w:val="lowerRoman"/>
      <w:lvlText w:val="%9."/>
      <w:lvlJc w:val="right"/>
      <w:pPr>
        <w:ind w:left="6480" w:hanging="180"/>
      </w:pPr>
    </w:lvl>
  </w:abstractNum>
  <w:abstractNum w:abstractNumId="72080099">
    <w:multiLevelType w:val="hybridMultilevel"/>
    <w:lvl w:ilvl="0" w:tplc="103062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080099">
    <w:abstractNumId w:val="72080099"/>
  </w:num>
  <w:num w:numId="72080100">
    <w:abstractNumId w:val="7208010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8977921" Type="http://schemas.microsoft.com/office/2011/relationships/commentsExtended" Target="commentsExtended.xml"/><Relationship Id="rId91746a7029cae8776"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