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Puccinia horiana PUCCHN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(2011); Bulgaria (2011); Croatia (2011); Czech Republic (2011); Denmark (1993); France (2011); Germany (2011); Greece (1997); Greece/Kriti (1997); Hungary (2006); Italy (2010); Italy/Sicilia (1994); Latvia (2011); Netherlands (2015); Poland (2004); Portugal (2011); Romania (2011); Slovakia (2011); Slovenia (2011); Sweden (1998); United Kingdom (2011); United Kingdom/England (1994); United Kingdom/Northern Ireland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3126a8d0bf6913c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listed in EPPO PM 4/6(2) certification scheme for Chrysanthemum.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Cultivars of Chrysanthemum × morifolium for cut flowers and pot chrysanthemum are mostly grown in protected cultivation, while multiflora plants (garden chrysanthemum) are mainly grown outdoors. Production under a protected cropping system is, under strict sanitation processes, sufficient to prevent infestation from the surrounding environment or previous crops. Plant material of Chrysanthemum × morifolium cultivars for propagation purposes originating from infested areas may carry P. horiana as teliospores in pustules or as mycelium, however existing certification schemes considerably reduce the risk of use of infected cuttings. Cut flowers may carry the pathogen, but current sanitary practices on nurseries should prevent their introduction.</w:t>
      </w:r>
      <w:r>
        <w:rPr>
          <w:color w:val="0200C9"/>
          <w:sz w:val="24"/>
          <w:szCs w:val="24"/>
        </w:rPr>
        <w:br/>
        <w:t xml:space="preserve">The pathogen spreads naturally as teliospores and basidiospores and Chrysanthemum species are the only host species, and they occur in the wild or are widely grown throughout the area. The basidiospores are dispersed by wind, which can transport them on at least 700 metres and possibly several kilometres but this needs conditions of high RH, as they lose their germinability after five minutes at 80 % RH and after one hour at 90% (EFSA 2013). Hence the likelyhood of protected environments becoming infected in this way would appear to be low.</w:t>
      </w:r>
      <w:r>
        <w:rPr>
          <w:color w:val="0200C9"/>
          <w:sz w:val="24"/>
          <w:szCs w:val="24"/>
        </w:rPr>
        <w:br/>
        <w:t xml:space="preserve">In conclusion, plants for planting are a pathway and are considered the main significant pathway compared to natural dispersal for crops grown in protected conditions, and also probably to crops grown outside, unless in close proximity to other infected crops or hosts under suitable environmental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most EU production areas the pathogen is considered established, and standard protective action is taken in the form of regular protective fungicide treatments and reductions in leaf wetness period where possible.</w:t>
      </w:r>
      <w:r>
        <w:rPr>
          <w:color w:val="0200C9"/>
          <w:sz w:val="24"/>
          <w:szCs w:val="24"/>
        </w:rPr>
        <w:br/>
        <w:t xml:space="preserve">Higher impact is expected only in the case in which a crop of a susceptible cultivar is grown in conditions in which leaf wetness period is not or cannot be controlled and where no protective fungicides are applied. Such cases are currently very rare but, if they occur, the impact can be locally severe, especially if cuttings did not undergo a certification scheme and were infected.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intended for planting have been derived from mother plants which have been inspected at least monthly during the previous 3 months and no symptoms seen at the site of production;</w:t>
      </w:r>
      <w:r>
        <w:rPr>
          <w:color w:val="0200C9"/>
          <w:sz w:val="24"/>
          <w:szCs w:val="24"/>
        </w:rPr>
        <w:br/>
        <w:t xml:space="preserve">or</w:t>
      </w:r>
      <w:r>
        <w:rPr>
          <w:color w:val="0200C9"/>
          <w:sz w:val="24"/>
          <w:szCs w:val="24"/>
        </w:rPr>
        <w:br/>
        <w:t xml:space="preserve">(b) Mother plants showing symptoms have been removed and destroyed, along with plants within a 1m radius, and an appropriate physical or chemical treatment has been applied to the plants which have been inspected before dispatch and found free from symptoms.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Thermotherapy is available and supported by most cultivars (45°C during 5 minutes).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Puccinia horiana Hennings for the EU territory, with the indentification and evaluation of risk reduction options. EFSA Journal 2013;11(1):3069. [121 pp.]doi:10.2903/j.efsa.2013.3069.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(2002) PM 4/6(2) Certification scheme for Chrysanthemum Bulletin OEPP/EPPO Bulletin 32, 105–114;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080294">
    <w:multiLevelType w:val="hybridMultilevel"/>
    <w:lvl w:ilvl="0" w:tplc="20319314">
      <w:start w:val="1"/>
      <w:numFmt w:val="decimal"/>
      <w:lvlText w:val="%1."/>
      <w:lvlJc w:val="left"/>
      <w:pPr>
        <w:ind w:left="720" w:hanging="360"/>
      </w:pPr>
    </w:lvl>
    <w:lvl w:ilvl="1" w:tplc="20319314" w:tentative="1">
      <w:start w:val="1"/>
      <w:numFmt w:val="lowerLetter"/>
      <w:lvlText w:val="%2."/>
      <w:lvlJc w:val="left"/>
      <w:pPr>
        <w:ind w:left="1440" w:hanging="360"/>
      </w:pPr>
    </w:lvl>
    <w:lvl w:ilvl="2" w:tplc="20319314" w:tentative="1">
      <w:start w:val="1"/>
      <w:numFmt w:val="lowerRoman"/>
      <w:lvlText w:val="%3."/>
      <w:lvlJc w:val="right"/>
      <w:pPr>
        <w:ind w:left="2160" w:hanging="180"/>
      </w:pPr>
    </w:lvl>
    <w:lvl w:ilvl="3" w:tplc="20319314" w:tentative="1">
      <w:start w:val="1"/>
      <w:numFmt w:val="decimal"/>
      <w:lvlText w:val="%4."/>
      <w:lvlJc w:val="left"/>
      <w:pPr>
        <w:ind w:left="2880" w:hanging="360"/>
      </w:pPr>
    </w:lvl>
    <w:lvl w:ilvl="4" w:tplc="20319314" w:tentative="1">
      <w:start w:val="1"/>
      <w:numFmt w:val="lowerLetter"/>
      <w:lvlText w:val="%5."/>
      <w:lvlJc w:val="left"/>
      <w:pPr>
        <w:ind w:left="3600" w:hanging="360"/>
      </w:pPr>
    </w:lvl>
    <w:lvl w:ilvl="5" w:tplc="20319314" w:tentative="1">
      <w:start w:val="1"/>
      <w:numFmt w:val="lowerRoman"/>
      <w:lvlText w:val="%6."/>
      <w:lvlJc w:val="right"/>
      <w:pPr>
        <w:ind w:left="4320" w:hanging="180"/>
      </w:pPr>
    </w:lvl>
    <w:lvl w:ilvl="6" w:tplc="20319314" w:tentative="1">
      <w:start w:val="1"/>
      <w:numFmt w:val="decimal"/>
      <w:lvlText w:val="%7."/>
      <w:lvlJc w:val="left"/>
      <w:pPr>
        <w:ind w:left="5040" w:hanging="360"/>
      </w:pPr>
    </w:lvl>
    <w:lvl w:ilvl="7" w:tplc="20319314" w:tentative="1">
      <w:start w:val="1"/>
      <w:numFmt w:val="lowerLetter"/>
      <w:lvlText w:val="%8."/>
      <w:lvlJc w:val="left"/>
      <w:pPr>
        <w:ind w:left="5760" w:hanging="360"/>
      </w:pPr>
    </w:lvl>
    <w:lvl w:ilvl="8" w:tplc="20319314" w:tentative="1">
      <w:start w:val="1"/>
      <w:numFmt w:val="lowerRoman"/>
      <w:lvlText w:val="%9."/>
      <w:lvlJc w:val="right"/>
      <w:pPr>
        <w:ind w:left="6480" w:hanging="180"/>
      </w:pPr>
    </w:lvl>
  </w:abstractNum>
  <w:abstractNum w:abstractNumId="81080293">
    <w:multiLevelType w:val="hybridMultilevel"/>
    <w:lvl w:ilvl="0" w:tplc="724567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080293">
    <w:abstractNumId w:val="81080293"/>
  </w:num>
  <w:num w:numId="81080294">
    <w:abstractNumId w:val="8108029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6205560" Type="http://schemas.microsoft.com/office/2011/relationships/commentsExtended" Target="commentsExtended.xml"/><Relationship Id="rId53126a8d0bf6913c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