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Opogona sacchari OPOGSC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w:t>
      </w:r>
      <w:r>
        <w:rPr>
          <w:color w:val="0200C9"/>
          <w:sz w:val="24"/>
          <w:szCs w:val="24"/>
        </w:rPr>
        <w:br/>
        <w:t xml:space="preserve">- fruit sector: O. sacchari has a wide host range with species in many different plant families. Musa (banana) and Ananas comosus (pine apple) crops are within the endangered area but are grown on a very limited scale in the PRA area with the exception of Madeira and Azores where the pest is already present. Apart from these host plants, impacts are only foreseen on ornamentals.</w:t>
      </w:r>
      <w:r>
        <w:rPr>
          <w:color w:val="0200C9"/>
          <w:sz w:val="24"/>
          <w:szCs w:val="24"/>
        </w:rPr>
        <w:br/>
        <w:t xml:space="preserve">- ornamental sector: The list of ornamental hosts includes species from the families and genera of Cactaceae, Arecaceae (Palmae), Yucca, Dracaena, Beaucarnea, Pachira, Ficus, and various other plant species (mainly with “fleshy” stems) like Strelitzia, Bougainvillea, Sansevieria, Musa, Philodendron, Begonia, Dahlia, etc. (Van der Gaag et al., 2013). Although Capsicum annuum and/or Solanum melongena, which can also be marketed as ornamentals, have been suspected as hosts, no original sources were found reporting these species as natural host plants. Therefore, they were not included as hosts (Van der Gaag et al., 2013). Regulating 'all ornamental plants' would appear to be excessive, because most individual plant species are not known as host plants. It is suggested to regulate those ornamentals on which at least two interceptions have been made (and notified in Europhyt) at the genus level plus Musa. Plants of several genera of the Arecaceae (Palmae) family have been intercepted twice or more (Areca = Dypsis lutescens, Cycas, Howea, Ravenea, Washingtonia) and, to simplify matters, it is proposed to include this family as a whole. This results in the following list of host plants: Arecaceae (Palmae), Beaucarnea, Bougainvillea, Crassula, Crinum, Dracaena, Ficus, Musa, Pachira, Sansevieria and Yucca.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(2005); Italy (1992); Netherlands (2015); Poland (1992); Portugal (2008); Portugal/Azores (2005); Portugal/Madeira (2008); Spain (1996);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336a8d0be1cb5ae"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 plants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moth Opogona sacchari has a wide host range and is mainly known as a pest of tropical and subtropical plants like banana, pineapple and various ornamentals from (sub)tropical origin. However for vegetable species covered by EU directive 2008/72/EU, none are hosts according to a Dutch PRA prepared in 2013 (van der Gaag et al., 2013). In recent scientific literature (2013-2017), no information was found on the presence of Opogona sacchari on Capsicum annuum and Solanum melongena either. For this reason, it is concluded that no species in this vegetable sector are known to be host plants. Plants for planting of the vegetable sector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species in the vegetable sector are known to be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454164">
    <w:multiLevelType w:val="hybridMultilevel"/>
    <w:lvl w:ilvl="0" w:tplc="78178902">
      <w:start w:val="1"/>
      <w:numFmt w:val="decimal"/>
      <w:lvlText w:val="%1."/>
      <w:lvlJc w:val="left"/>
      <w:pPr>
        <w:ind w:left="720" w:hanging="360"/>
      </w:pPr>
    </w:lvl>
    <w:lvl w:ilvl="1" w:tplc="78178902" w:tentative="1">
      <w:start w:val="1"/>
      <w:numFmt w:val="lowerLetter"/>
      <w:lvlText w:val="%2."/>
      <w:lvlJc w:val="left"/>
      <w:pPr>
        <w:ind w:left="1440" w:hanging="360"/>
      </w:pPr>
    </w:lvl>
    <w:lvl w:ilvl="2" w:tplc="78178902" w:tentative="1">
      <w:start w:val="1"/>
      <w:numFmt w:val="lowerRoman"/>
      <w:lvlText w:val="%3."/>
      <w:lvlJc w:val="right"/>
      <w:pPr>
        <w:ind w:left="2160" w:hanging="180"/>
      </w:pPr>
    </w:lvl>
    <w:lvl w:ilvl="3" w:tplc="78178902" w:tentative="1">
      <w:start w:val="1"/>
      <w:numFmt w:val="decimal"/>
      <w:lvlText w:val="%4."/>
      <w:lvlJc w:val="left"/>
      <w:pPr>
        <w:ind w:left="2880" w:hanging="360"/>
      </w:pPr>
    </w:lvl>
    <w:lvl w:ilvl="4" w:tplc="78178902" w:tentative="1">
      <w:start w:val="1"/>
      <w:numFmt w:val="lowerLetter"/>
      <w:lvlText w:val="%5."/>
      <w:lvlJc w:val="left"/>
      <w:pPr>
        <w:ind w:left="3600" w:hanging="360"/>
      </w:pPr>
    </w:lvl>
    <w:lvl w:ilvl="5" w:tplc="78178902" w:tentative="1">
      <w:start w:val="1"/>
      <w:numFmt w:val="lowerRoman"/>
      <w:lvlText w:val="%6."/>
      <w:lvlJc w:val="right"/>
      <w:pPr>
        <w:ind w:left="4320" w:hanging="180"/>
      </w:pPr>
    </w:lvl>
    <w:lvl w:ilvl="6" w:tplc="78178902" w:tentative="1">
      <w:start w:val="1"/>
      <w:numFmt w:val="decimal"/>
      <w:lvlText w:val="%7."/>
      <w:lvlJc w:val="left"/>
      <w:pPr>
        <w:ind w:left="5040" w:hanging="360"/>
      </w:pPr>
    </w:lvl>
    <w:lvl w:ilvl="7" w:tplc="78178902" w:tentative="1">
      <w:start w:val="1"/>
      <w:numFmt w:val="lowerLetter"/>
      <w:lvlText w:val="%8."/>
      <w:lvlJc w:val="left"/>
      <w:pPr>
        <w:ind w:left="5760" w:hanging="360"/>
      </w:pPr>
    </w:lvl>
    <w:lvl w:ilvl="8" w:tplc="78178902" w:tentative="1">
      <w:start w:val="1"/>
      <w:numFmt w:val="lowerRoman"/>
      <w:lvlText w:val="%9."/>
      <w:lvlJc w:val="right"/>
      <w:pPr>
        <w:ind w:left="6480" w:hanging="180"/>
      </w:pPr>
    </w:lvl>
  </w:abstractNum>
  <w:abstractNum w:abstractNumId="72454163">
    <w:multiLevelType w:val="hybridMultilevel"/>
    <w:lvl w:ilvl="0" w:tplc="847498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454163">
    <w:abstractNumId w:val="72454163"/>
  </w:num>
  <w:num w:numId="72454164">
    <w:abstractNumId w:val="724541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7511950" Type="http://schemas.microsoft.com/office/2011/relationships/commentsExtended" Target="commentsExtended.xml"/><Relationship Id="rId83336a8d0be1cb5a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