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Plasmopara halstedii PLASHA</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Chromista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Ornamental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Ornamental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Austria (1993); Bulgaria (1993); Croatia (1996); Czech Republic (2016); Estonia (1992); France (1993); Germany (1995); Greece (2008); Hungary (2014); Italy (1992); Netherlands (2015); Romania (2011); Slovakia (1994); Spain (1996)</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35906a7029a963827" w:history="1">
        <w:r>
          <w:rPr>
            <w:color w:val="0200C9"/>
            <w:sz w:val="24"/>
            <w:szCs w:val="24"/>
          </w:rPr>
          <w:t xml:space="preserve">https://gd.eppo.int/</w:t>
        </w:r>
      </w:hyperlink>
      <w:r>
        <w:rPr>
          <w:color w:val="0200C9"/>
          <w:sz w:val="24"/>
          <w:szCs w:val="24"/>
        </w:rPr>
        <w:t xml:space="preserv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Helianthus annuus (HELAN)</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With respect to the primary infection, P. halstedii is a soil-borne pathogen. Its oospores serve as primary inoculum to underground tissues of young sunflower seedlings. It may also be windborne, causing secondary infection of leaves and/or inflorescence however the significance of windborne sporangia in disease initiation has long been regarded to be low. The fungus is also seedborne: the affected seeds carrying mycelium and/or oospores internally and seed tests are available to detect infection. Oospores develop mainly in root and lower stem tissues of mildewed plants, with or without visible symptoms and, with plant residues of the preceding sunflower crop, they come incorporated into the soil. Oospores are long-lived and are able to survive for at least 6-8 years. It is found that the fungus was present in a significant percentage of seeds from naturally infected plants and seeds gave rise to apparently healthy seedlings with no typical symptoms (latent type of infection) but the pathogen sporulated more often on the roots of these symptomless plants from infected seed. In dry years the number of pathogen-contaminated seeds is very low and may not exceed several in one thousand, but may be much higher after a cool and humid period. For example, in one case nearly 10% of seeds from a field in Germany were contaminated and another under favorable experimental conditions, observed fungal structures in 28% of the seeds examined (CABI, 2016).</w:t>
      </w:r>
      <w:r>
        <w:rPr>
          <w:color w:val="0200C9"/>
          <w:sz w:val="24"/>
          <w:szCs w:val="24"/>
        </w:rPr>
        <w:br/>
        <w:t xml:space="preserve">Plants for planting are a host and plants grown for ornamental cut flower production from infected seed could be infected. Seed is a significant pathway, including for exchange of strains which overcome control measures (resistant varieties and metalaxyl fungicide treatments).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Information on impact for cut flower ornamental crops is limited, however the flower heads may be discoloured, show white downy growth or "hunched" bearing of the flowers (ANSES, 2013). When climate conditions are conducive, the potential impact in the absence of management measures is high: P. halstedii is capable of causing yield losses of up to 100% (total loss of contaminated plants). The majority, if not all, of systemically infected plants either die prematurely or hardly produce viable seed, they make no contribution to yield. Reduction in seed yield may also be due to pre- or post-emergence damping-off of severely mildewed seedlings under very favorable conditions. With suitable management measures, in particular the use of varieties resistant to pathogen populations, the economic impact can be estimated (on the basis of the French situation) to be, on average, a 3.5% yield loss for the PRA area (EU COM, 2016; ANSES, 2013; CABI, 2016). Other management measures are seed treatments, fungicides, rotation of crops and removal or ploughing in of infected debris etc.</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Major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Information of the impact on ornamental sunflowers is limited. When climate conditions are conducive, in the absence of management measures, the potential impact on sunflower for oil production is high. Impact on ornamental sunflowers can be extrapolated from that.</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Visual examination, uprooting of all plants with symptoms from the infected field.</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Data is available for sunflowers for agricultural production and impact on ornamental sunflowers can be extrapolated from that.</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based on the following measures.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(A) The seeds originate in areas known to be free from Plasmopara halstedii;</w:t>
      </w:r>
      <w:r>
        <w:rPr>
          <w:color w:val="0200C9"/>
          <w:sz w:val="24"/>
          <w:szCs w:val="24"/>
        </w:rPr>
        <w:br/>
        <w:t xml:space="preserve">OR</w:t>
      </w:r>
      <w:r>
        <w:rPr>
          <w:color w:val="0200C9"/>
          <w:sz w:val="24"/>
          <w:szCs w:val="24"/>
        </w:rPr>
        <w:br/>
        <w:t xml:space="preserve">(B) No symptoms of P. halstedii have been observed at the seed production site in at least two inspections at appropriate times during the growing season;</w:t>
      </w:r>
      <w:r>
        <w:rPr>
          <w:color w:val="0200C9"/>
          <w:sz w:val="24"/>
          <w:szCs w:val="24"/>
        </w:rPr>
        <w:br/>
        <w:t xml:space="preserve">OR</w:t>
      </w:r>
      <w:r>
        <w:rPr>
          <w:color w:val="0200C9"/>
          <w:sz w:val="24"/>
          <w:szCs w:val="24"/>
        </w:rPr>
        <w:br/>
        <w:t xml:space="preserve">(C) (a) The seed production site has been subject to at least two inspections at appropriate times during the growing season;</w:t>
      </w:r>
      <w:r>
        <w:rPr>
          <w:color w:val="0200C9"/>
          <w:sz w:val="24"/>
          <w:szCs w:val="24"/>
        </w:rPr>
        <w:br/>
        <w:t xml:space="preserve">and</w:t>
      </w:r>
      <w:r>
        <w:rPr>
          <w:color w:val="0200C9"/>
          <w:sz w:val="24"/>
          <w:szCs w:val="24"/>
        </w:rPr>
        <w:br/>
        <w:t xml:space="preserve">(b) No more than 5% of plants have shown symptoms of P. halstedii during these inspections, all plants showing symptoms of Plasmopara halstedii have been removed and destroyed immediately after inspection;</w:t>
      </w:r>
      <w:r>
        <w:rPr>
          <w:color w:val="0200C9"/>
          <w:sz w:val="24"/>
          <w:szCs w:val="24"/>
        </w:rPr>
        <w:br/>
        <w:t xml:space="preserve">and</w:t>
      </w:r>
      <w:r>
        <w:rPr>
          <w:color w:val="0200C9"/>
          <w:sz w:val="24"/>
          <w:szCs w:val="24"/>
        </w:rPr>
        <w:br/>
        <w:t xml:space="preserve">(c) At the final inspection no plants have been found showing symptoms of Plasmopara halstedii;</w:t>
      </w:r>
      <w:r>
        <w:rPr>
          <w:color w:val="0200C9"/>
          <w:sz w:val="24"/>
          <w:szCs w:val="24"/>
        </w:rPr>
        <w:br/>
        <w:t xml:space="preserve">OR</w:t>
      </w:r>
      <w:r>
        <w:rPr>
          <w:color w:val="0200C9"/>
          <w:sz w:val="24"/>
          <w:szCs w:val="24"/>
        </w:rPr>
        <w:br/>
        <w:t xml:space="preserve">(D) (a) The seed production site has been subject to at least two inspections at appropriate times during the growing season;</w:t>
      </w:r>
      <w:r>
        <w:rPr>
          <w:color w:val="0200C9"/>
          <w:sz w:val="24"/>
          <w:szCs w:val="24"/>
        </w:rPr>
        <w:br/>
        <w:t xml:space="preserve">and</w:t>
      </w:r>
      <w:r>
        <w:rPr>
          <w:color w:val="0200C9"/>
          <w:sz w:val="24"/>
          <w:szCs w:val="24"/>
        </w:rPr>
        <w:br/>
        <w:t xml:space="preserve">(b) All plants showing symptoms of Plasmopara halstedii have been removed and destroyed immediately after inspection;</w:t>
      </w:r>
      <w:r>
        <w:rPr>
          <w:color w:val="0200C9"/>
          <w:sz w:val="24"/>
          <w:szCs w:val="24"/>
        </w:rPr>
        <w:br/>
        <w:t xml:space="preserve">and</w:t>
      </w:r>
      <w:r>
        <w:rPr>
          <w:color w:val="0200C9"/>
          <w:sz w:val="24"/>
          <w:szCs w:val="24"/>
        </w:rPr>
        <w:br/>
        <w:t xml:space="preserve">(c) At the final inspection, no plants have been found showing symptoms of P. halstedii, and a representative sample from each lot has been tested and found free from Plasmopara halstedii;</w:t>
      </w:r>
      <w:r>
        <w:rPr>
          <w:color w:val="0200C9"/>
          <w:sz w:val="24"/>
          <w:szCs w:val="24"/>
        </w:rPr>
        <w:br/>
        <w:t xml:space="preserve">OR</w:t>
      </w:r>
      <w:r>
        <w:rPr>
          <w:color w:val="0200C9"/>
          <w:sz w:val="24"/>
          <w:szCs w:val="24"/>
        </w:rPr>
        <w:br/>
        <w:t xml:space="preserve">(E) The seeds have been subjected to an appropriate treatment which has been demonstrated to be effective against all known strains of Plasmopara halstedii.</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ANSES (2013) Opinion of the French Agency for Food, Environmental and Occupational Health &amp; Safety (Anses) concerning "performance of a pest risk analysis on downy mildew of sunflower (Plasmopara halstedii)";</w:t>
      </w:r>
    </w:p>
    <w:p>
      <w:pPr>
        <w:numPr>
          <w:ilvl w:val="0"/>
          <w:numId w:val="1"/>
        </w:numPr>
        <w:spacing w:before="0" w:after="0" w:line="240" w:lineRule="auto"/>
        <w:jc w:val="left"/>
        <w:rPr>
          <w:color w:val="0200C9"/>
          <w:sz w:val="24"/>
          <w:szCs w:val="24"/>
        </w:rPr>
      </w:pPr>
      <w:r>
        <w:rPr>
          <w:color w:val="0200C9"/>
          <w:sz w:val="24"/>
          <w:szCs w:val="24"/>
        </w:rPr>
        <w:t xml:space="preserve">CABI (Centre for Agricultural Bioscience International), online, 2012. Datasheets Plasmopara halstedii (downy mildew of sunflower). Invasive species compendium. CABI, Wallingford, UK. Available from </w:t>
      </w:r>
      <w:hyperlink r:id="rId92226a7029a963ed2" w:history="1">
        <w:r>
          <w:rPr>
            <w:color w:val="0200C9"/>
            <w:sz w:val="24"/>
            <w:szCs w:val="24"/>
          </w:rPr>
          <w:t xml:space="preserve">http://www.cabi.org/isc/datasheet/41911</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EU COM (2016) Recommendation of the Working Group on the Annexes of the Council Directive 2000/29/EC – Section II – Listing of Harmful Organisms as regards the future listing of Plasmopara halstedii (Farlow) Berlese &amp; de Toni;</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1405015">
    <w:multiLevelType w:val="hybridMultilevel"/>
    <w:lvl w:ilvl="0" w:tplc="22900989">
      <w:start w:val="1"/>
      <w:numFmt w:val="decimal"/>
      <w:lvlText w:val="%1."/>
      <w:lvlJc w:val="left"/>
      <w:pPr>
        <w:ind w:left="720" w:hanging="360"/>
      </w:pPr>
    </w:lvl>
    <w:lvl w:ilvl="1" w:tplc="22900989" w:tentative="1">
      <w:start w:val="1"/>
      <w:numFmt w:val="lowerLetter"/>
      <w:lvlText w:val="%2."/>
      <w:lvlJc w:val="left"/>
      <w:pPr>
        <w:ind w:left="1440" w:hanging="360"/>
      </w:pPr>
    </w:lvl>
    <w:lvl w:ilvl="2" w:tplc="22900989" w:tentative="1">
      <w:start w:val="1"/>
      <w:numFmt w:val="lowerRoman"/>
      <w:lvlText w:val="%3."/>
      <w:lvlJc w:val="right"/>
      <w:pPr>
        <w:ind w:left="2160" w:hanging="180"/>
      </w:pPr>
    </w:lvl>
    <w:lvl w:ilvl="3" w:tplc="22900989" w:tentative="1">
      <w:start w:val="1"/>
      <w:numFmt w:val="decimal"/>
      <w:lvlText w:val="%4."/>
      <w:lvlJc w:val="left"/>
      <w:pPr>
        <w:ind w:left="2880" w:hanging="360"/>
      </w:pPr>
    </w:lvl>
    <w:lvl w:ilvl="4" w:tplc="22900989" w:tentative="1">
      <w:start w:val="1"/>
      <w:numFmt w:val="lowerLetter"/>
      <w:lvlText w:val="%5."/>
      <w:lvlJc w:val="left"/>
      <w:pPr>
        <w:ind w:left="3600" w:hanging="360"/>
      </w:pPr>
    </w:lvl>
    <w:lvl w:ilvl="5" w:tplc="22900989" w:tentative="1">
      <w:start w:val="1"/>
      <w:numFmt w:val="lowerRoman"/>
      <w:lvlText w:val="%6."/>
      <w:lvlJc w:val="right"/>
      <w:pPr>
        <w:ind w:left="4320" w:hanging="180"/>
      </w:pPr>
    </w:lvl>
    <w:lvl w:ilvl="6" w:tplc="22900989" w:tentative="1">
      <w:start w:val="1"/>
      <w:numFmt w:val="decimal"/>
      <w:lvlText w:val="%7."/>
      <w:lvlJc w:val="left"/>
      <w:pPr>
        <w:ind w:left="5040" w:hanging="360"/>
      </w:pPr>
    </w:lvl>
    <w:lvl w:ilvl="7" w:tplc="22900989" w:tentative="1">
      <w:start w:val="1"/>
      <w:numFmt w:val="lowerLetter"/>
      <w:lvlText w:val="%8."/>
      <w:lvlJc w:val="left"/>
      <w:pPr>
        <w:ind w:left="5760" w:hanging="360"/>
      </w:pPr>
    </w:lvl>
    <w:lvl w:ilvl="8" w:tplc="22900989" w:tentative="1">
      <w:start w:val="1"/>
      <w:numFmt w:val="lowerRoman"/>
      <w:lvlText w:val="%9."/>
      <w:lvlJc w:val="right"/>
      <w:pPr>
        <w:ind w:left="6480" w:hanging="180"/>
      </w:pPr>
    </w:lvl>
  </w:abstractNum>
  <w:abstractNum w:abstractNumId="61405014">
    <w:multiLevelType w:val="hybridMultilevel"/>
    <w:lvl w:ilvl="0" w:tplc="8612391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61405014">
    <w:abstractNumId w:val="61405014"/>
  </w:num>
  <w:num w:numId="61405015">
    <w:abstractNumId w:val="614050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981621856" Type="http://schemas.microsoft.com/office/2011/relationships/commentsExtended" Target="commentsExtended.xml"/><Relationship Id="rId35906a7029a963827" Type="http://schemas.openxmlformats.org/officeDocument/2006/relationships/hyperlink" Target="https://gd.eppo.int/" TargetMode="External"/><Relationship Id="rId92226a7029a963ed2" Type="http://schemas.openxmlformats.org/officeDocument/2006/relationships/hyperlink" Target="http://www.cabi.org/isc/datasheet/41911"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