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555662b11f567c9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Medicago sativa (MEDSA)</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high level of variability has been observed in the range of hosts for D. dipsaci populations though for alfalfa it is quite narrow. The parasite can survive for long periods in the soil (for up to two years) and so cropping practices (rotations, chemical treatment of soil), and the usage of resistant varieties (only for alfalfa) can limit its spread and establishment. It is spread mainly via seed, plant debris associated with seed and infected bulbs but spread by natural means (movement through soil, run-off of water, wind) or via human assistance (agricultural machinery, farm scale) is also likely, but would occur at a limited rate (EU COM 2016). During 1972 to 1975 un-cleaned seed samples of lucerne from different areas of France were examined for Ditylenchus dipsaci and at least 13% of lucerne seed samples were infested with a degree of infestation varying depending on the region and the cultivar (Caubel G &amp; Pedron J P, 1999). Movement of nematodes associated with seeds is considered to be the a high-risk pathway for the spread of this pest by Mouttet R et al., 2014 who suggested the 2010 official withdrawal of methyl bromide in Europe. The absence of any alternative chemical (fumigation of contaminated seed batches is no longer possible) makes the production of nematode-free alfalfa seeds difficult and will lead to unmarketable seed batches (Mouttet R et al., 2014). Accurate seed certification is recommended as a way to stop the spread of D. dipsaci on lucerne (Tacconi R et al., 2006).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impact of D. dipsaci observed on alfalfa fodder crops concerns yield losses (limited to significant depending on soil, climate areas and varieties). The impact of D. dipsaci depends on the regions, with southern Europe, in particular, being less affected. The presence of the nematode on seed also causes significant commercial damage due to the risks to the next crop (EU COM, 2016). Persistance of stands is reduced when grown over a few years on infested soils (Griffin 1991). In alfalfa seed crops, the impact observed is related to the rejection of contaminated seed lots that cannot be marketed (EU COM,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disease free seed, field inspections, where crop infected produce not used for seed. Prevent build up of pest through adequate rotation.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No symptoms of Ditylenchus dipsaci have been observed at the site of production since the beginning of the last complete cycle of vegetation;</w:t>
      </w:r>
      <w:r>
        <w:rPr>
          <w:color w:val="0200C9"/>
          <w:sz w:val="24"/>
          <w:szCs w:val="24"/>
        </w:rPr>
        <w:br/>
        <w:t xml:space="preserve">and</w:t>
      </w:r>
      <w:r>
        <w:rPr>
          <w:color w:val="0200C9"/>
          <w:sz w:val="24"/>
          <w:szCs w:val="24"/>
        </w:rPr>
        <w:br/>
        <w:t xml:space="preserve">(b) No main host crops (including Vicia, Allium, Avena &amp; Beta) have been grown in the two preceding years on the site of production;</w:t>
      </w:r>
      <w:r>
        <w:rPr>
          <w:color w:val="0200C9"/>
          <w:sz w:val="24"/>
          <w:szCs w:val="24"/>
        </w:rPr>
        <w:br/>
        <w:t xml:space="preserve">and</w:t>
      </w:r>
      <w:r>
        <w:rPr>
          <w:color w:val="0200C9"/>
          <w:sz w:val="24"/>
          <w:szCs w:val="24"/>
        </w:rPr>
        <w:br/>
        <w:t xml:space="preserve">(c) Appropriate hygiene measures have been taken to prevent infestation of the site of production;</w:t>
      </w:r>
      <w:r>
        <w:rPr>
          <w:color w:val="0200C9"/>
          <w:sz w:val="24"/>
          <w:szCs w:val="24"/>
        </w:rPr>
        <w:br/>
        <w:t xml:space="preserve">OR</w:t>
      </w:r>
      <w:r>
        <w:rPr>
          <w:color w:val="0200C9"/>
          <w:sz w:val="24"/>
          <w:szCs w:val="24"/>
        </w:rPr>
        <w:br/>
        <w:t xml:space="preserve">(B) (a) No symptoms of Ditylenchus dipsaci have been observed at the site of production since the beginning of the last complete cycle of vegetation;</w:t>
      </w:r>
      <w:r>
        <w:rPr>
          <w:color w:val="0200C9"/>
          <w:sz w:val="24"/>
          <w:szCs w:val="24"/>
        </w:rPr>
        <w:br/>
        <w:t xml:space="preserve">and</w:t>
      </w:r>
      <w:r>
        <w:rPr>
          <w:color w:val="0200C9"/>
          <w:sz w:val="24"/>
          <w:szCs w:val="24"/>
        </w:rPr>
        <w:br/>
        <w:t xml:space="preserve">(b) No Ditylenchus dipsaci has been found by laboratory tests on a representative sample;</w:t>
      </w:r>
      <w:r>
        <w:rPr>
          <w:color w:val="0200C9"/>
          <w:sz w:val="24"/>
          <w:szCs w:val="24"/>
        </w:rPr>
        <w:br/>
        <w:t xml:space="preserve">OR</w:t>
      </w:r>
      <w:r>
        <w:rPr>
          <w:color w:val="0200C9"/>
          <w:sz w:val="24"/>
          <w:szCs w:val="24"/>
        </w:rPr>
        <w:br/>
        <w:t xml:space="preserve">(C) The seeds have been subjected to an appropriate physical or chemical treatment against Ditylenchus dipsaci and have been found to be free of this pest after laboratory tests on a representative sample.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transmissible with machineries. Machineries are usually contracted with external suppliers. Appropriate hygiene measures are needed.</w:t>
      </w:r>
      <w:r>
        <w:rPr>
          <w:color w:val="0200C9"/>
          <w:sz w:val="24"/>
          <w:szCs w:val="24"/>
        </w:rPr>
        <w:br/>
        <w:t xml:space="preserve">The production of Avena, Vicia faba, or Allium in the same place of production, or the rotation with these high risk crops may pose a risk.</w:t>
      </w:r>
      <w:r>
        <w:rPr>
          <w:color w:val="0200C9"/>
          <w:sz w:val="24"/>
          <w:szCs w:val="24"/>
        </w:rPr>
        <w:br/>
        <w:t xml:space="preserve">Seeds could be brushed. This can be sufficient not to find the nematode anymore by testing. This would not prevent from any infection, but reduce the inoculum present in the seed lot. Measures should only apply to the site of production (instead of the whole ‘place of production’). ‘Fumigation’ should be replaced by ‘appropriate physical or chemical treatments’. Treatments are combined with a test because of uncertainties about the efficiency of these treatment methods.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Caubel G &amp; Pedron J P (1976) Geographical distribution of the stem nematode Ditylenchus dipsaci in cultures of forage legumes. Sciences Agronomiques Rennes, 183-188;</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Griffin G D (1991) Relationship of Ditylenchus dipsaci and harvest practices to the persistence of alfalfa. Journal of Nematology 23, 306-315; Mouttet R, Escobar-Gutiérrez A, Esquibet M, Gentzbittel L, Mugniéry D, Reignault P, Sarniguet C &amp; Castagnone-Sereno P (2014) Banning of methyl bromide for seed treatment: could Ditylenchus dipsaci again become a major threat to alfalfa production in Europe? Pest Management Science 70, 1017-1022;</w:t>
      </w:r>
    </w:p>
    <w:p>
      <w:pPr>
        <w:numPr>
          <w:ilvl w:val="0"/>
          <w:numId w:val="1"/>
        </w:numPr>
        <w:spacing w:before="0" w:after="0" w:line="240" w:lineRule="auto"/>
        <w:jc w:val="left"/>
        <w:rPr>
          <w:color w:val="0200C9"/>
          <w:sz w:val="24"/>
          <w:szCs w:val="24"/>
        </w:rPr>
      </w:pPr>
      <w:r>
        <w:rPr>
          <w:color w:val="0200C9"/>
          <w:sz w:val="24"/>
          <w:szCs w:val="24"/>
        </w:rPr>
        <w:t xml:space="preserve">Tacconi R, Santi R &amp; Vincentis F (1999) Control of the nematode Ditylenchus dipsaci on seed of a medical herb. Informatore Fitopatologico 49, 26-27;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22768">
    <w:multiLevelType w:val="hybridMultilevel"/>
    <w:lvl w:ilvl="0" w:tplc="10815098">
      <w:start w:val="1"/>
      <w:numFmt w:val="decimal"/>
      <w:lvlText w:val="%1."/>
      <w:lvlJc w:val="left"/>
      <w:pPr>
        <w:ind w:left="720" w:hanging="360"/>
      </w:pPr>
    </w:lvl>
    <w:lvl w:ilvl="1" w:tplc="10815098" w:tentative="1">
      <w:start w:val="1"/>
      <w:numFmt w:val="lowerLetter"/>
      <w:lvlText w:val="%2."/>
      <w:lvlJc w:val="left"/>
      <w:pPr>
        <w:ind w:left="1440" w:hanging="360"/>
      </w:pPr>
    </w:lvl>
    <w:lvl w:ilvl="2" w:tplc="10815098" w:tentative="1">
      <w:start w:val="1"/>
      <w:numFmt w:val="lowerRoman"/>
      <w:lvlText w:val="%3."/>
      <w:lvlJc w:val="right"/>
      <w:pPr>
        <w:ind w:left="2160" w:hanging="180"/>
      </w:pPr>
    </w:lvl>
    <w:lvl w:ilvl="3" w:tplc="10815098" w:tentative="1">
      <w:start w:val="1"/>
      <w:numFmt w:val="decimal"/>
      <w:lvlText w:val="%4."/>
      <w:lvlJc w:val="left"/>
      <w:pPr>
        <w:ind w:left="2880" w:hanging="360"/>
      </w:pPr>
    </w:lvl>
    <w:lvl w:ilvl="4" w:tplc="10815098" w:tentative="1">
      <w:start w:val="1"/>
      <w:numFmt w:val="lowerLetter"/>
      <w:lvlText w:val="%5."/>
      <w:lvlJc w:val="left"/>
      <w:pPr>
        <w:ind w:left="3600" w:hanging="360"/>
      </w:pPr>
    </w:lvl>
    <w:lvl w:ilvl="5" w:tplc="10815098" w:tentative="1">
      <w:start w:val="1"/>
      <w:numFmt w:val="lowerRoman"/>
      <w:lvlText w:val="%6."/>
      <w:lvlJc w:val="right"/>
      <w:pPr>
        <w:ind w:left="4320" w:hanging="180"/>
      </w:pPr>
    </w:lvl>
    <w:lvl w:ilvl="6" w:tplc="10815098" w:tentative="1">
      <w:start w:val="1"/>
      <w:numFmt w:val="decimal"/>
      <w:lvlText w:val="%7."/>
      <w:lvlJc w:val="left"/>
      <w:pPr>
        <w:ind w:left="5040" w:hanging="360"/>
      </w:pPr>
    </w:lvl>
    <w:lvl w:ilvl="7" w:tplc="10815098" w:tentative="1">
      <w:start w:val="1"/>
      <w:numFmt w:val="lowerLetter"/>
      <w:lvlText w:val="%8."/>
      <w:lvlJc w:val="left"/>
      <w:pPr>
        <w:ind w:left="5760" w:hanging="360"/>
      </w:pPr>
    </w:lvl>
    <w:lvl w:ilvl="8" w:tplc="10815098" w:tentative="1">
      <w:start w:val="1"/>
      <w:numFmt w:val="lowerRoman"/>
      <w:lvlText w:val="%9."/>
      <w:lvlJc w:val="right"/>
      <w:pPr>
        <w:ind w:left="6480" w:hanging="180"/>
      </w:pPr>
    </w:lvl>
  </w:abstractNum>
  <w:abstractNum w:abstractNumId="10122767">
    <w:multiLevelType w:val="hybridMultilevel"/>
    <w:lvl w:ilvl="0" w:tplc="634162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122767">
    <w:abstractNumId w:val="10122767"/>
  </w:num>
  <w:num w:numId="10122768">
    <w:abstractNumId w:val="101227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9582462" Type="http://schemas.microsoft.com/office/2011/relationships/commentsExtended" Target="commentsExtended.xml"/><Relationship Id="rId5555662b11f567c9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