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Ditylenchus dipsaci DITYDI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Fodder plant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Fodder plant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for ornamentals:</w:t>
      </w:r>
      <w:r>
        <w:rPr>
          <w:color w:val="0200C9"/>
          <w:sz w:val="24"/>
          <w:szCs w:val="24"/>
        </w:rPr>
        <w:br/>
        <w:t xml:space="preserve">- Allium: There is a large number of Allium species (and within the species, varieties) that are used as ornamentals.</w:t>
      </w:r>
      <w:r>
        <w:rPr>
          <w:color w:val="0200C9"/>
          <w:sz w:val="24"/>
          <w:szCs w:val="24"/>
        </w:rPr>
        <w:br/>
        <w:t xml:space="preserve">Therefore it is suggested to include all Allium for ornamental use in the present evaluation.</w:t>
      </w:r>
      <w:r>
        <w:rPr>
          <w:color w:val="0200C9"/>
          <w:sz w:val="24"/>
          <w:szCs w:val="24"/>
        </w:rPr>
        <w:br/>
        <w:t xml:space="preserve">- Ismene (host plant for D. dipsaci as mentioned in Directive 2000/29/EC) is nowadays named Hymenocallis for cultivated ornamental species and varieties.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(2007); Bulgaria (1993); Croatia (1996); Cyprus (1993); Czech Republic (1994); Denmark (1993); Estonia (1994); Finland (1993); France (2010); Germany (2014); Greece (1996); Hungary (2001); Ireland (1998); Italy (1992); Italy/Sicilia (2002); Latvia (2013); Lithuania (1998); Malta (1995); Netherlands (2015); Poland (2012); Portugal (1992); Portugal/Azores (1994); Romania (2011); Slovakia (2007); Slovenia (2003); Spain (2007); Sweden (1993); United Kingdom (1993); United Kingdom/England (1994); United Kingdom/Scotland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25896a7029b737a36"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Medicago sativa (MEDSA)</w:t>
      </w:r>
      <w:r>
        <w:rPr>
          <w:color w:val="000000"/>
          <w:sz w:val="24"/>
          <w:szCs w:val="24"/>
        </w:rPr>
        <w:t xml:space="preserve"> for the Fodder plant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 high level of variability has been observed in the range of hosts for D. dipsaci populations though for alfalfa it is quite narrow. The parasite can survive for long periods in the soil (for up to two years) and so cropping practices (rotations, chemical treatment of soil), and the usage of resistant varieties (only for alfalfa) can limit its spread and establishment. It is spread mainly via seed, plant debris associated with seed and infected bulbs but spread by natural means (movement through soil, run-off of water, wind) or via human assistance (agricultural machinery, farm scale) is also likely, but would occur at a limited rate (EU COM 2016). During 1972 to 1975 un-cleaned seed samples of lucerne from different areas of France were examined for Ditylenchus dipsaci and at least 13% of lucerne seed samples were infested with a degree of infestation varying depending on the region and the cultivar (Caubel G &amp; Pedron J P, 1999). Movement of nematodes associated with seeds is considered to be the a high-risk pathway for the spread of this pest by Mouttet R et al., 2014 who suggested the 2010 official withdrawal of methyl bromide in Europe. The absence of any alternative chemical (fumigation of contaminated seed batches is no longer possible) makes the production of nematode-free alfalfa seeds difficult and will lead to unmarketable seed batches (Mouttet R et al., 2014). Accurate seed certification is recommended as a way to stop the spread of D. dipsaci on lucerne (Tacconi R et al., 2006).</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impact of D. dipsaci observed on alfalfa fodder crops concerns yield losses (limited to significant depending on soil, climate areas and varieties). The impact of D. dipsaci depends on the regions, with southern Europe, in particular, being less affected. The presence of the nematode on seed also causes significant commercial damage due to the risks to the next crop (EU COM, 2016). Persistance of stands is reduced when grown over a few years on infested soils (Griffin 1991). In alfalfa seed crops, the impact observed is related to the rejection of contaminated seed lots that cannot be marketed (EU COM,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Planting disease free seed, field inspections, where crop infected produce not used for seed. Prevent build up of pest through adequate rotation.</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(a) No symptoms of Ditylenchus dipsaci have been observed at the site of production since the beginning of the last complete cycle of vegetation;</w:t>
      </w:r>
      <w:r>
        <w:rPr>
          <w:color w:val="0200C9"/>
          <w:sz w:val="24"/>
          <w:szCs w:val="24"/>
        </w:rPr>
        <w:br/>
        <w:t xml:space="preserve">and</w:t>
      </w:r>
      <w:r>
        <w:rPr>
          <w:color w:val="0200C9"/>
          <w:sz w:val="24"/>
          <w:szCs w:val="24"/>
        </w:rPr>
        <w:br/>
        <w:t xml:space="preserve">(b) No main host crops (including Vicia, Allium, Avena &amp; Beta) have been grown in the two preceding years on the site of production;</w:t>
      </w:r>
      <w:r>
        <w:rPr>
          <w:color w:val="0200C9"/>
          <w:sz w:val="24"/>
          <w:szCs w:val="24"/>
        </w:rPr>
        <w:br/>
        <w:t xml:space="preserve">and</w:t>
      </w:r>
      <w:r>
        <w:rPr>
          <w:color w:val="0200C9"/>
          <w:sz w:val="24"/>
          <w:szCs w:val="24"/>
        </w:rPr>
        <w:br/>
        <w:t xml:space="preserve">(c) Appropriate hygiene measures have been taken to prevent infestation of the site of production;</w:t>
      </w:r>
      <w:r>
        <w:rPr>
          <w:color w:val="0200C9"/>
          <w:sz w:val="24"/>
          <w:szCs w:val="24"/>
        </w:rPr>
        <w:br/>
        <w:t xml:space="preserve">OR</w:t>
      </w:r>
      <w:r>
        <w:rPr>
          <w:color w:val="0200C9"/>
          <w:sz w:val="24"/>
          <w:szCs w:val="24"/>
        </w:rPr>
        <w:br/>
        <w:t xml:space="preserve">(B) (a) No symptoms of Ditylenchus dipsaci have been observed at the site of production since the beginning of the last complete cycle of vegetation;</w:t>
      </w:r>
      <w:r>
        <w:rPr>
          <w:color w:val="0200C9"/>
          <w:sz w:val="24"/>
          <w:szCs w:val="24"/>
        </w:rPr>
        <w:br/>
        <w:t xml:space="preserve">and</w:t>
      </w:r>
      <w:r>
        <w:rPr>
          <w:color w:val="0200C9"/>
          <w:sz w:val="24"/>
          <w:szCs w:val="24"/>
        </w:rPr>
        <w:br/>
        <w:t xml:space="preserve">(b) No Ditylenchus dipsaci has been found by laboratory tests on a representative sample;</w:t>
      </w:r>
      <w:r>
        <w:rPr>
          <w:color w:val="0200C9"/>
          <w:sz w:val="24"/>
          <w:szCs w:val="24"/>
        </w:rPr>
        <w:br/>
        <w:t xml:space="preserve">OR</w:t>
      </w:r>
      <w:r>
        <w:rPr>
          <w:color w:val="0200C9"/>
          <w:sz w:val="24"/>
          <w:szCs w:val="24"/>
        </w:rPr>
        <w:br/>
        <w:t xml:space="preserve">(C) The seeds have been subjected to an appropriate physical or chemical treatment against Ditylenchus dipsaci and have been found to be free of this pest after laboratory tests on a representative sample.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transmissible with machineries. Machineries are usually contracted with external suppliers. Appropriate hygiene measures are needed.</w:t>
      </w:r>
      <w:r>
        <w:rPr>
          <w:color w:val="0200C9"/>
          <w:sz w:val="24"/>
          <w:szCs w:val="24"/>
        </w:rPr>
        <w:br/>
        <w:t xml:space="preserve">The production of Avena, Vicia faba, or Allium in the same place of production, or the rotation with these high risk crops may pose a risk.</w:t>
      </w:r>
      <w:r>
        <w:rPr>
          <w:color w:val="0200C9"/>
          <w:sz w:val="24"/>
          <w:szCs w:val="24"/>
        </w:rPr>
        <w:br/>
        <w:t xml:space="preserve">Seeds could be brushed. This can be sufficient not to find the nematode anymore by testing. This would not prevent from any infection, but reduce the inoculum present in the seed lot. Measures should only apply to the site of production (instead of the whole ‘place of production’). ‘Fumigation’ should be replaced by ‘appropriate physical or chemical treatments’. Treatments are combined with a test because of uncertainties about the efficiency of these treatment methods.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Caubel G &amp; Pedron J P (1976) Geographical distribution of the stem nematode Ditylenchus dipsaci in cultures of forage legumes. Sciences Agronomiques Rennes, 183-188;</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Ditylenchus dipsaci (Kuhn) Filipvejev;</w:t>
      </w:r>
    </w:p>
    <w:p>
      <w:pPr>
        <w:numPr>
          <w:ilvl w:val="0"/>
          <w:numId w:val="1"/>
        </w:numPr>
        <w:spacing w:before="0" w:after="0" w:line="240" w:lineRule="auto"/>
        <w:jc w:val="left"/>
        <w:rPr>
          <w:color w:val="0200C9"/>
          <w:sz w:val="24"/>
          <w:szCs w:val="24"/>
        </w:rPr>
      </w:pPr>
      <w:r>
        <w:rPr>
          <w:color w:val="0200C9"/>
          <w:sz w:val="24"/>
          <w:szCs w:val="24"/>
        </w:rPr>
        <w:t xml:space="preserve">Griffin G D (1991) Relationship of Ditylenchus dipsaci and harvest practices to the persistence of alfalfa. Journal of Nematology 23, 306-315; Mouttet R, Escobar-Gutiérrez A, Esquibet M, Gentzbittel L, Mugniéry D, Reignault P, Sarniguet C &amp; Castagnone-Sereno P (2014) Banning of methyl bromide for seed treatment: could Ditylenchus dipsaci again become a major threat to alfalfa production in Europe? Pest Management Science 70, 1017-1022;</w:t>
      </w:r>
    </w:p>
    <w:p>
      <w:pPr>
        <w:numPr>
          <w:ilvl w:val="0"/>
          <w:numId w:val="1"/>
        </w:numPr>
        <w:spacing w:before="0" w:after="0" w:line="240" w:lineRule="auto"/>
        <w:jc w:val="left"/>
        <w:rPr>
          <w:color w:val="0200C9"/>
          <w:sz w:val="24"/>
          <w:szCs w:val="24"/>
        </w:rPr>
      </w:pPr>
      <w:r>
        <w:rPr>
          <w:color w:val="0200C9"/>
          <w:sz w:val="24"/>
          <w:szCs w:val="24"/>
        </w:rPr>
        <w:t xml:space="preserve">Tacconi R, Santi R &amp; Vincentis F (1999) Control of the nematode Ditylenchus dipsaci on seed of a medical herb. Informatore Fitopatologico 49, 26-27;</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6871593">
    <w:multiLevelType w:val="hybridMultilevel"/>
    <w:lvl w:ilvl="0" w:tplc="73644661">
      <w:start w:val="1"/>
      <w:numFmt w:val="decimal"/>
      <w:lvlText w:val="%1."/>
      <w:lvlJc w:val="left"/>
      <w:pPr>
        <w:ind w:left="720" w:hanging="360"/>
      </w:pPr>
    </w:lvl>
    <w:lvl w:ilvl="1" w:tplc="73644661" w:tentative="1">
      <w:start w:val="1"/>
      <w:numFmt w:val="lowerLetter"/>
      <w:lvlText w:val="%2."/>
      <w:lvlJc w:val="left"/>
      <w:pPr>
        <w:ind w:left="1440" w:hanging="360"/>
      </w:pPr>
    </w:lvl>
    <w:lvl w:ilvl="2" w:tplc="73644661" w:tentative="1">
      <w:start w:val="1"/>
      <w:numFmt w:val="lowerRoman"/>
      <w:lvlText w:val="%3."/>
      <w:lvlJc w:val="right"/>
      <w:pPr>
        <w:ind w:left="2160" w:hanging="180"/>
      </w:pPr>
    </w:lvl>
    <w:lvl w:ilvl="3" w:tplc="73644661" w:tentative="1">
      <w:start w:val="1"/>
      <w:numFmt w:val="decimal"/>
      <w:lvlText w:val="%4."/>
      <w:lvlJc w:val="left"/>
      <w:pPr>
        <w:ind w:left="2880" w:hanging="360"/>
      </w:pPr>
    </w:lvl>
    <w:lvl w:ilvl="4" w:tplc="73644661" w:tentative="1">
      <w:start w:val="1"/>
      <w:numFmt w:val="lowerLetter"/>
      <w:lvlText w:val="%5."/>
      <w:lvlJc w:val="left"/>
      <w:pPr>
        <w:ind w:left="3600" w:hanging="360"/>
      </w:pPr>
    </w:lvl>
    <w:lvl w:ilvl="5" w:tplc="73644661" w:tentative="1">
      <w:start w:val="1"/>
      <w:numFmt w:val="lowerRoman"/>
      <w:lvlText w:val="%6."/>
      <w:lvlJc w:val="right"/>
      <w:pPr>
        <w:ind w:left="4320" w:hanging="180"/>
      </w:pPr>
    </w:lvl>
    <w:lvl w:ilvl="6" w:tplc="73644661" w:tentative="1">
      <w:start w:val="1"/>
      <w:numFmt w:val="decimal"/>
      <w:lvlText w:val="%7."/>
      <w:lvlJc w:val="left"/>
      <w:pPr>
        <w:ind w:left="5040" w:hanging="360"/>
      </w:pPr>
    </w:lvl>
    <w:lvl w:ilvl="7" w:tplc="73644661" w:tentative="1">
      <w:start w:val="1"/>
      <w:numFmt w:val="lowerLetter"/>
      <w:lvlText w:val="%8."/>
      <w:lvlJc w:val="left"/>
      <w:pPr>
        <w:ind w:left="5760" w:hanging="360"/>
      </w:pPr>
    </w:lvl>
    <w:lvl w:ilvl="8" w:tplc="73644661" w:tentative="1">
      <w:start w:val="1"/>
      <w:numFmt w:val="lowerRoman"/>
      <w:lvlText w:val="%9."/>
      <w:lvlJc w:val="right"/>
      <w:pPr>
        <w:ind w:left="6480" w:hanging="180"/>
      </w:pPr>
    </w:lvl>
  </w:abstractNum>
  <w:abstractNum w:abstractNumId="26871592">
    <w:multiLevelType w:val="hybridMultilevel"/>
    <w:lvl w:ilvl="0" w:tplc="2391210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6871592">
    <w:abstractNumId w:val="26871592"/>
  </w:num>
  <w:num w:numId="26871593">
    <w:abstractNumId w:val="2687159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27215785" Type="http://schemas.microsoft.com/office/2011/relationships/commentsExtended" Target="commentsExtended.xml"/><Relationship Id="rId25896a7029b737a36"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