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656a8d0b8ae0b5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D. dipsaci is listed in EPPO PM 4/5(2) Classification scheme for Narcissus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which can be infested by D. dipsaci and planting nematode-free bulbs is recognized as an important control practice for this pest. (Hot water treatment is available to assist this and nil tolerance is recommended in classification schemes, EPPO 2002). Other potential sources of infection are nematode-infested soil, infested debris and infested weeds. Field control can be by rotation, soil solarization or resistant cultivars, however chemical treatments of soil are not economic for large areas (CABI, 2015), though it is the main control method used in France for tulips, daffodils and hyacinths (ANSES, 2013). 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ornamental plants, especially flower bulbs.</w:t>
      </w:r>
      <w:r>
        <w:rPr>
          <w:color w:val="0200C9"/>
          <w:sz w:val="24"/>
          <w:szCs w:val="24"/>
        </w:rPr>
        <w:br/>
        <w:t xml:space="preserve">In daffodils its causes yellowing and deformation of the leaves, a reduction in internode length, leading to dwarfism of the plant. Flowering is also delayed and stem lesions and depigmentation of the sepals necessarily have an adverse effect on their sale. In France, D. dipsaci has no economic impact on bulb flowers (tulips, daffodils, hyacinths) due to preventive and systematic soil treatments using Vydate (oxamyl) (ANSES, 2013). However this is an economic cost due to the pest and is presumably not always 100% effective.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Avis de l’Agence nationale de sécurité sanitaire de l’alimentation, de l’environnement et du travail relatif à « Demande de complément à l’analyse de risque phytosanitaire sur les nématodes des tiges et bulbes (Ditylenchus dipsaci) sur la luzerne (saisine n°2012-SA-0086). Élargissement aux</w:t>
      </w:r>
    </w:p>
    <w:p>
      <w:pPr>
        <w:numPr>
          <w:ilvl w:val="0"/>
          <w:numId w:val="1"/>
        </w:numPr>
        <w:spacing w:before="0" w:after="0" w:line="240" w:lineRule="auto"/>
        <w:jc w:val="left"/>
        <w:rPr>
          <w:color w:val="0200C9"/>
          <w:sz w:val="24"/>
          <w:szCs w:val="24"/>
        </w:rPr>
      </w:pPr>
      <w:r>
        <w:rPr>
          <w:color w:val="0200C9"/>
          <w:sz w:val="24"/>
          <w:szCs w:val="24"/>
        </w:rPr>
        <w:t xml:space="preserve">autres végétaux réglementés. Full analysis available at </w:t>
      </w:r>
      <w:hyperlink r:id="rId89846a8d0b8ae108d" w:history="1">
        <w:r>
          <w:rPr>
            <w:color w:val="0200C9"/>
            <w:sz w:val="24"/>
            <w:szCs w:val="24"/>
          </w:rPr>
          <w:t xml:space="preserve">https://www.anses.fr/fr/system/files/SVEG2012sa0086Ra.pdf</w:t>
        </w:r>
      </w:hyperlink>
      <w:r>
        <w:rPr>
          <w:color w:val="0200C9"/>
          <w:sz w:val="24"/>
          <w:szCs w:val="24"/>
        </w:rPr>
        <w:t xml:space="preserve">; Resume available at:</w:t>
      </w:r>
    </w:p>
    <w:p>
      <w:pPr>
        <w:numPr>
          <w:ilvl w:val="0"/>
          <w:numId w:val="1"/>
        </w:numPr>
        <w:spacing w:before="0" w:after="0" w:line="240" w:lineRule="auto"/>
        <w:jc w:val="left"/>
        <w:rPr>
          <w:color w:val="0200C9"/>
          <w:sz w:val="24"/>
          <w:szCs w:val="24"/>
        </w:rPr>
      </w:pPr>
      <w:hyperlink r:id="rId38666a8d0b8ae10b6" w:history="1">
        <w:r>
          <w:rPr>
            <w:color w:val="0200C9"/>
            <w:sz w:val="24"/>
            <w:szCs w:val="24"/>
          </w:rPr>
          <w:t xml:space="preserve">https://www.anses.fr/fr/system/files/SVEG2013sa0155Ra.pdf</w:t>
        </w:r>
      </w:hyperlink>
      <w:r>
        <w:rPr>
          <w:color w:val="0200C9"/>
          <w:sz w:val="24"/>
          <w:szCs w:val="24"/>
        </w:rPr>
        <w:t xml:space="preserve">; English translations available;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9946a8d0b8ae10f0"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Certification scheme for Narcissus. Bulletin OEPP/EPPO Bulletin 32, 91–104;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65235">
    <w:multiLevelType w:val="hybridMultilevel"/>
    <w:lvl w:ilvl="0" w:tplc="42550234">
      <w:start w:val="1"/>
      <w:numFmt w:val="decimal"/>
      <w:lvlText w:val="%1."/>
      <w:lvlJc w:val="left"/>
      <w:pPr>
        <w:ind w:left="720" w:hanging="360"/>
      </w:pPr>
    </w:lvl>
    <w:lvl w:ilvl="1" w:tplc="42550234" w:tentative="1">
      <w:start w:val="1"/>
      <w:numFmt w:val="lowerLetter"/>
      <w:lvlText w:val="%2."/>
      <w:lvlJc w:val="left"/>
      <w:pPr>
        <w:ind w:left="1440" w:hanging="360"/>
      </w:pPr>
    </w:lvl>
    <w:lvl w:ilvl="2" w:tplc="42550234" w:tentative="1">
      <w:start w:val="1"/>
      <w:numFmt w:val="lowerRoman"/>
      <w:lvlText w:val="%3."/>
      <w:lvlJc w:val="right"/>
      <w:pPr>
        <w:ind w:left="2160" w:hanging="180"/>
      </w:pPr>
    </w:lvl>
    <w:lvl w:ilvl="3" w:tplc="42550234" w:tentative="1">
      <w:start w:val="1"/>
      <w:numFmt w:val="decimal"/>
      <w:lvlText w:val="%4."/>
      <w:lvlJc w:val="left"/>
      <w:pPr>
        <w:ind w:left="2880" w:hanging="360"/>
      </w:pPr>
    </w:lvl>
    <w:lvl w:ilvl="4" w:tplc="42550234" w:tentative="1">
      <w:start w:val="1"/>
      <w:numFmt w:val="lowerLetter"/>
      <w:lvlText w:val="%5."/>
      <w:lvlJc w:val="left"/>
      <w:pPr>
        <w:ind w:left="3600" w:hanging="360"/>
      </w:pPr>
    </w:lvl>
    <w:lvl w:ilvl="5" w:tplc="42550234" w:tentative="1">
      <w:start w:val="1"/>
      <w:numFmt w:val="lowerRoman"/>
      <w:lvlText w:val="%6."/>
      <w:lvlJc w:val="right"/>
      <w:pPr>
        <w:ind w:left="4320" w:hanging="180"/>
      </w:pPr>
    </w:lvl>
    <w:lvl w:ilvl="6" w:tplc="42550234" w:tentative="1">
      <w:start w:val="1"/>
      <w:numFmt w:val="decimal"/>
      <w:lvlText w:val="%7."/>
      <w:lvlJc w:val="left"/>
      <w:pPr>
        <w:ind w:left="5040" w:hanging="360"/>
      </w:pPr>
    </w:lvl>
    <w:lvl w:ilvl="7" w:tplc="42550234" w:tentative="1">
      <w:start w:val="1"/>
      <w:numFmt w:val="lowerLetter"/>
      <w:lvlText w:val="%8."/>
      <w:lvlJc w:val="left"/>
      <w:pPr>
        <w:ind w:left="5760" w:hanging="360"/>
      </w:pPr>
    </w:lvl>
    <w:lvl w:ilvl="8" w:tplc="42550234" w:tentative="1">
      <w:start w:val="1"/>
      <w:numFmt w:val="lowerRoman"/>
      <w:lvlText w:val="%9."/>
      <w:lvlJc w:val="right"/>
      <w:pPr>
        <w:ind w:left="6480" w:hanging="180"/>
      </w:pPr>
    </w:lvl>
  </w:abstractNum>
  <w:abstractNum w:abstractNumId="64265234">
    <w:multiLevelType w:val="hybridMultilevel"/>
    <w:lvl w:ilvl="0" w:tplc="997369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65234">
    <w:abstractNumId w:val="64265234"/>
  </w:num>
  <w:num w:numId="64265235">
    <w:abstractNumId w:val="642652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4239923" Type="http://schemas.microsoft.com/office/2011/relationships/commentsExtended" Target="commentsExtended.xml"/><Relationship Id="rId56656a8d0b8ae0b59" Type="http://schemas.openxmlformats.org/officeDocument/2006/relationships/hyperlink" Target="https://gd.eppo.int/" TargetMode="External"/><Relationship Id="rId89846a8d0b8ae108d" Type="http://schemas.openxmlformats.org/officeDocument/2006/relationships/hyperlink" Target="https://www.anses.fr/fr/system/files/SVEG2012sa0086Ra.pdf" TargetMode="External"/><Relationship Id="rId38666a8d0b8ae10b6" Type="http://schemas.openxmlformats.org/officeDocument/2006/relationships/hyperlink" Target="https://www.anses.fr/fr/system/files/SVEG2013sa0155Ra.pdf" TargetMode="External"/><Relationship Id="rId29946a8d0b8ae10f0"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