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Ditylenchus dipsaci (DITYDI)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Remark for ornamentals:</w:t>
      </w:r>
      <w:r>
        <w:rPr>
          <w:color w:val="0200C9"/>
          <w:sz w:val="24"/>
          <w:szCs w:val="24"/>
        </w:rPr>
        <w:br/>
        <w:t xml:space="preserve">- Allium: There is a large number of Allium species (and within the species, varieties) that are used as ornamentals.</w:t>
      </w:r>
      <w:r>
        <w:rPr>
          <w:color w:val="0200C9"/>
          <w:sz w:val="24"/>
          <w:szCs w:val="24"/>
        </w:rPr>
        <w:br/>
        <w:t xml:space="preserve">Therefore it is suggested to include all Allium for ornamental use in the present evaluation.</w:t>
      </w:r>
      <w:r>
        <w:rPr>
          <w:color w:val="0200C9"/>
          <w:sz w:val="24"/>
          <w:szCs w:val="24"/>
        </w:rPr>
        <w:br/>
        <w:t xml:space="preserve">- Ismene (host plant for D. dipsaci as mentioned in Directive 2000/29/EC) is nowadays named Hymenocallis for cultivated ornamental species and varieties.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(2007); Bulgaria (1993); Croatia (1996); Cyprus (1993); Czech Republic (1994); Denmark (1993); Estonia (1994); Finland (1993); France (2010); Germany (2014); Greece (1996); Hungary (2001); Ireland (1998); Italy (1992); Italy/Sicilia (2002); Latvia (2013); Lithuania (1998); Malta (1995); Netherlands (2015); Poland (2012); Portugal (1992); Portugal/Azores (1994); Romania (2011); Slovakia (2007); Slovenia (2003); Spain (2007); Sweden (1993); United Kingdom (1993); United Kingdom/England (1994); United Kingdom/Scotland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2323690a0d8e5f85a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Narcissus (1NARG)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IIA2AWG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Bulbs and corms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D. dipsaci is listed in EPPO PM 4/5(2) Classification scheme for Narcissus (EPPO, 2002).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 - based on EPPO PM 4 Standard.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Zero tolerance based on visual examination.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(a) The plants have been inspected and no symptoms of Ditylenchus dipsaci have been observed on the lot since the beginning of the last complete cycle of vegetation;</w:t>
      </w:r>
      <w:r>
        <w:rPr>
          <w:color w:val="0200C9"/>
          <w:sz w:val="24"/>
          <w:szCs w:val="24"/>
        </w:rPr>
        <w:br/>
        <w:t xml:space="preserve">or</w:t>
      </w:r>
      <w:r>
        <w:rPr>
          <w:color w:val="0200C9"/>
          <w:sz w:val="24"/>
          <w:szCs w:val="24"/>
        </w:rPr>
        <w:br/>
        <w:t xml:space="preserve">(b) The bulbs are found substantially free from symptoms of Ditylenchus dipsaci and packed for sale to the final consumer.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ANSES (2013) Avis de l’Agence nationale de sécurité sanitaire de l’alimentation, de l’environnement et du travail relatif à « Demande de complément à l’analyse de risque phytosanitaire sur les nématodes des tiges et bulbes (Ditylenchus dipsaci) sur la luzerne (saisine n°2012-SA-0086). Élargissement aux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autres végétaux réglementés. Full analysis available at </w:t>
      </w:r>
      <w:hyperlink r:id="rId1119690a0d8e5fa5e" w:history="1">
        <w:r>
          <w:rPr>
            <w:color w:val="0200C9"/>
            <w:sz w:val="24"/>
            <w:szCs w:val="24"/>
          </w:rPr>
          <w:t xml:space="preserve">https://www.anses.fr/fr/system/files/SVEG2012sa0086Ra.pdf</w:t>
        </w:r>
      </w:hyperlink>
      <w:r>
        <w:rPr>
          <w:color w:val="0200C9"/>
          <w:sz w:val="24"/>
          <w:szCs w:val="24"/>
        </w:rPr>
        <w:t xml:space="preserve">; Resume available at: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hyperlink r:id="rId5164690a0d8e5fa81" w:history="1">
        <w:r>
          <w:rPr>
            <w:color w:val="0200C9"/>
            <w:sz w:val="24"/>
            <w:szCs w:val="24"/>
          </w:rPr>
          <w:t xml:space="preserve">https://www.anses.fr/fr/system/files/SVEG2013sa0155Ra.pdf</w:t>
        </w:r>
      </w:hyperlink>
      <w:r>
        <w:rPr>
          <w:color w:val="0200C9"/>
          <w:sz w:val="24"/>
          <w:szCs w:val="24"/>
        </w:rPr>
        <w:t xml:space="preserve">; English translations available;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CABI (Centre for Agricultural Bioscience International) (2015) Online. Datasheets Ditylenchus dipsaci (stem and bulb nematode). Invasive species compendium. CABI, Wallingford, UK. Available from </w:t>
      </w:r>
      <w:hyperlink r:id="rId3091690a0d8e5faaf" w:history="1">
        <w:r>
          <w:rPr>
            <w:color w:val="0200C9"/>
            <w:sz w:val="24"/>
            <w:szCs w:val="24"/>
          </w:rPr>
          <w:t xml:space="preserve">http://www.cabi.org/isc/datasheet/19287</w:t>
        </w:r>
      </w:hyperlink>
      <w:r>
        <w:rPr>
          <w:color w:val="0200C9"/>
          <w:sz w:val="24"/>
          <w:szCs w:val="24"/>
        </w:rPr>
        <w:t xml:space="preserve">;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EPPO (2002) Certification scheme for Narcissus. Bulletin OEPP/EPPO Bulletin 32, 91–104;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0957556">
    <w:multiLevelType w:val="hybridMultilevel"/>
    <w:lvl w:ilvl="0" w:tplc="10803477">
      <w:start w:val="1"/>
      <w:numFmt w:val="decimal"/>
      <w:lvlText w:val="%1."/>
      <w:lvlJc w:val="left"/>
      <w:pPr>
        <w:ind w:left="720" w:hanging="360"/>
      </w:pPr>
    </w:lvl>
    <w:lvl w:ilvl="1" w:tplc="10803477" w:tentative="1">
      <w:start w:val="1"/>
      <w:numFmt w:val="lowerLetter"/>
      <w:lvlText w:val="%2."/>
      <w:lvlJc w:val="left"/>
      <w:pPr>
        <w:ind w:left="1440" w:hanging="360"/>
      </w:pPr>
    </w:lvl>
    <w:lvl w:ilvl="2" w:tplc="10803477" w:tentative="1">
      <w:start w:val="1"/>
      <w:numFmt w:val="lowerRoman"/>
      <w:lvlText w:val="%3."/>
      <w:lvlJc w:val="right"/>
      <w:pPr>
        <w:ind w:left="2160" w:hanging="180"/>
      </w:pPr>
    </w:lvl>
    <w:lvl w:ilvl="3" w:tplc="10803477" w:tentative="1">
      <w:start w:val="1"/>
      <w:numFmt w:val="decimal"/>
      <w:lvlText w:val="%4."/>
      <w:lvlJc w:val="left"/>
      <w:pPr>
        <w:ind w:left="2880" w:hanging="360"/>
      </w:pPr>
    </w:lvl>
    <w:lvl w:ilvl="4" w:tplc="10803477" w:tentative="1">
      <w:start w:val="1"/>
      <w:numFmt w:val="lowerLetter"/>
      <w:lvlText w:val="%5."/>
      <w:lvlJc w:val="left"/>
      <w:pPr>
        <w:ind w:left="3600" w:hanging="360"/>
      </w:pPr>
    </w:lvl>
    <w:lvl w:ilvl="5" w:tplc="10803477" w:tentative="1">
      <w:start w:val="1"/>
      <w:numFmt w:val="lowerRoman"/>
      <w:lvlText w:val="%6."/>
      <w:lvlJc w:val="right"/>
      <w:pPr>
        <w:ind w:left="4320" w:hanging="180"/>
      </w:pPr>
    </w:lvl>
    <w:lvl w:ilvl="6" w:tplc="10803477" w:tentative="1">
      <w:start w:val="1"/>
      <w:numFmt w:val="decimal"/>
      <w:lvlText w:val="%7."/>
      <w:lvlJc w:val="left"/>
      <w:pPr>
        <w:ind w:left="5040" w:hanging="360"/>
      </w:pPr>
    </w:lvl>
    <w:lvl w:ilvl="7" w:tplc="10803477" w:tentative="1">
      <w:start w:val="1"/>
      <w:numFmt w:val="lowerLetter"/>
      <w:lvlText w:val="%8."/>
      <w:lvlJc w:val="left"/>
      <w:pPr>
        <w:ind w:left="5760" w:hanging="360"/>
      </w:pPr>
    </w:lvl>
    <w:lvl w:ilvl="8" w:tplc="1080347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57555">
    <w:multiLevelType w:val="hybridMultilevel"/>
    <w:lvl w:ilvl="0" w:tplc="8295565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0957555">
    <w:abstractNumId w:val="20957555"/>
  </w:num>
  <w:num w:numId="20957556">
    <w:abstractNumId w:val="2095755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68118449" Type="http://schemas.microsoft.com/office/2011/relationships/commentsExtended" Target="commentsExtended.xml"/><Relationship Id="rId2323690a0d8e5f85a" Type="http://schemas.openxmlformats.org/officeDocument/2006/relationships/hyperlink" Target="https://gd.eppo.int/" TargetMode="External"/><Relationship Id="rId1119690a0d8e5fa5e" Type="http://schemas.openxmlformats.org/officeDocument/2006/relationships/hyperlink" Target="https://www.anses.fr/fr/system/files/SVEG2012sa0086Ra.pdf" TargetMode="External"/><Relationship Id="rId5164690a0d8e5fa81" Type="http://schemas.openxmlformats.org/officeDocument/2006/relationships/hyperlink" Target="https://www.anses.fr/fr/system/files/SVEG2013sa0155Ra.pdf" TargetMode="External"/><Relationship Id="rId3091690a0d8e5faaf" Type="http://schemas.openxmlformats.org/officeDocument/2006/relationships/hyperlink" Target="http://www.cabi.org/isc/datasheet/19287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