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dipsaci (DITYDI)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for ornamentals:</w:t>
      </w:r>
      <w:r>
        <w:rPr>
          <w:color w:val="0200C9"/>
          <w:sz w:val="24"/>
          <w:szCs w:val="24"/>
        </w:rPr>
        <w:br/>
        <w:t xml:space="preserve">- Allium: There is a large number of Allium species (and within the species, varieties) that are used as ornamentals.</w:t>
      </w:r>
      <w:r>
        <w:rPr>
          <w:color w:val="0200C9"/>
          <w:sz w:val="24"/>
          <w:szCs w:val="24"/>
        </w:rPr>
        <w:br/>
        <w:t xml:space="preserve">Therefore it is suggested to include all Allium for ornamental use in the present evaluation.</w:t>
      </w:r>
      <w:r>
        <w:rPr>
          <w:color w:val="0200C9"/>
          <w:sz w:val="24"/>
          <w:szCs w:val="24"/>
        </w:rPr>
        <w:br/>
        <w:t xml:space="preserve">- Ismene (host plant for D. dipsaci as mentioned in Directive 2000/29/EC) is nowadays named Hymenocallis for cultivated ornamental species and varieties.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(2007); Bulgaria (1993); Croatia (1996); Cyprus (1993); Czech Republic (1994); Denmark (1993); Estonia (1994); Finland (1993); France (2010); Germany (2014); Greece (1996); Hungary (2001); Ireland (1998); Italy (1992); Italy/Sicilia (2002); Latvia (2013); Lithuania (1998); Malta (1995); Netherlands (2015); Poland (2012); Portugal (1992); Portugal/Azores (1994); Romania (2011); Slovakia (2007); Slovenia (2003); Spain (2007); Sweden (1993);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1906632b9b1aa1a6"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Galanthus (1GAXG)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Bulbs and corms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Normally propagated by bulbs or tubers which can be infested by D. dipsaci and planting nematode-free bulbs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w:t>
      </w:r>
      <w:r>
        <w:rPr>
          <w:color w:val="0200C9"/>
          <w:sz w:val="24"/>
          <w:szCs w:val="24"/>
        </w:rPr>
        <w:br/>
        <w:t xml:space="preserve">In conclusion young plants for transplanting or bulbs are both pathways, and with suitable control measures carried out for the alternative inoculum sources, plants and bulbs can be considered as significant pathways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Symptoms of infestation in Amarylliaceae are similar to those in Narcissus spp.; for example, Galanthus spp. show swellings on their leaves and concentric, brown rings in bulbs (IPPC 2016). No references found on any subject in a literature search for this pest/host combination.</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Experts concluded that D. dipsaci is known to cause the same symptoms on Camassia, Chionodoxa, Crocus flavus, Galanthus, Galtonia candicans, Hyacinthus, Ismene, Muscari, Narcissus, Ornithogalum, Puschkinia and Scilla as in Tulipa or Allium (information from the Flower Bulb Inspection Service (BKD) and from the Netherlands Food and Consumer Product Safety Authority (NVWA, the Dutch NPPO)).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have been inspected and no symptoms of Ditylenchus dipsaci have been observed on the lot since the beginning of the last complete cycle of vegetation;</w:t>
      </w:r>
      <w:r>
        <w:rPr>
          <w:color w:val="0200C9"/>
          <w:sz w:val="24"/>
          <w:szCs w:val="24"/>
        </w:rPr>
        <w:br/>
        <w:t xml:space="preserve">or</w:t>
      </w:r>
      <w:r>
        <w:rPr>
          <w:color w:val="0200C9"/>
          <w:sz w:val="24"/>
          <w:szCs w:val="24"/>
        </w:rPr>
        <w:br/>
        <w:t xml:space="preserve">(b) The bulbs are found substantially free from symptoms of Ditylenchus dipsaci and packed for sale to the final consumer.</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84166632b9b1aa5bc"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IPPC (2016) ISPM 27. Diagnostic protocols for regulated pests DP 8: Ditylenchus dipsaci and Ditylenchus destructor. Available at </w:t>
      </w:r>
      <w:hyperlink r:id="rId83726632b9b1aa5ea" w:history="1">
        <w:r>
          <w:rPr>
            <w:color w:val="0200C9"/>
            <w:sz w:val="24"/>
            <w:szCs w:val="24"/>
          </w:rPr>
          <w:t xml:space="preserve">https://www.ippc.int/static/media/files/publication/en/2016/01/DP_08_2015_En__2015-12-22_Reformatted.pdf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398160">
    <w:multiLevelType w:val="hybridMultilevel"/>
    <w:lvl w:ilvl="0" w:tplc="30759555">
      <w:start w:val="1"/>
      <w:numFmt w:val="decimal"/>
      <w:lvlText w:val="%1."/>
      <w:lvlJc w:val="left"/>
      <w:pPr>
        <w:ind w:left="720" w:hanging="360"/>
      </w:pPr>
    </w:lvl>
    <w:lvl w:ilvl="1" w:tplc="30759555" w:tentative="1">
      <w:start w:val="1"/>
      <w:numFmt w:val="lowerLetter"/>
      <w:lvlText w:val="%2."/>
      <w:lvlJc w:val="left"/>
      <w:pPr>
        <w:ind w:left="1440" w:hanging="360"/>
      </w:pPr>
    </w:lvl>
    <w:lvl w:ilvl="2" w:tplc="30759555" w:tentative="1">
      <w:start w:val="1"/>
      <w:numFmt w:val="lowerRoman"/>
      <w:lvlText w:val="%3."/>
      <w:lvlJc w:val="right"/>
      <w:pPr>
        <w:ind w:left="2160" w:hanging="180"/>
      </w:pPr>
    </w:lvl>
    <w:lvl w:ilvl="3" w:tplc="30759555" w:tentative="1">
      <w:start w:val="1"/>
      <w:numFmt w:val="decimal"/>
      <w:lvlText w:val="%4."/>
      <w:lvlJc w:val="left"/>
      <w:pPr>
        <w:ind w:left="2880" w:hanging="360"/>
      </w:pPr>
    </w:lvl>
    <w:lvl w:ilvl="4" w:tplc="30759555" w:tentative="1">
      <w:start w:val="1"/>
      <w:numFmt w:val="lowerLetter"/>
      <w:lvlText w:val="%5."/>
      <w:lvlJc w:val="left"/>
      <w:pPr>
        <w:ind w:left="3600" w:hanging="360"/>
      </w:pPr>
    </w:lvl>
    <w:lvl w:ilvl="5" w:tplc="30759555" w:tentative="1">
      <w:start w:val="1"/>
      <w:numFmt w:val="lowerRoman"/>
      <w:lvlText w:val="%6."/>
      <w:lvlJc w:val="right"/>
      <w:pPr>
        <w:ind w:left="4320" w:hanging="180"/>
      </w:pPr>
    </w:lvl>
    <w:lvl w:ilvl="6" w:tplc="30759555" w:tentative="1">
      <w:start w:val="1"/>
      <w:numFmt w:val="decimal"/>
      <w:lvlText w:val="%7."/>
      <w:lvlJc w:val="left"/>
      <w:pPr>
        <w:ind w:left="5040" w:hanging="360"/>
      </w:pPr>
    </w:lvl>
    <w:lvl w:ilvl="7" w:tplc="30759555" w:tentative="1">
      <w:start w:val="1"/>
      <w:numFmt w:val="lowerLetter"/>
      <w:lvlText w:val="%8."/>
      <w:lvlJc w:val="left"/>
      <w:pPr>
        <w:ind w:left="5760" w:hanging="360"/>
      </w:pPr>
    </w:lvl>
    <w:lvl w:ilvl="8" w:tplc="30759555" w:tentative="1">
      <w:start w:val="1"/>
      <w:numFmt w:val="lowerRoman"/>
      <w:lvlText w:val="%9."/>
      <w:lvlJc w:val="right"/>
      <w:pPr>
        <w:ind w:left="6480" w:hanging="180"/>
      </w:pPr>
    </w:lvl>
  </w:abstractNum>
  <w:abstractNum w:abstractNumId="94398159">
    <w:multiLevelType w:val="hybridMultilevel"/>
    <w:lvl w:ilvl="0" w:tplc="546476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398159">
    <w:abstractNumId w:val="94398159"/>
  </w:num>
  <w:num w:numId="94398160">
    <w:abstractNumId w:val="9439816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4579766" Type="http://schemas.microsoft.com/office/2011/relationships/commentsExtended" Target="commentsExtended.xml"/><Relationship Id="rId71906632b9b1aa1a6" Type="http://schemas.openxmlformats.org/officeDocument/2006/relationships/hyperlink" Target="https://gd.eppo.int/" TargetMode="External"/><Relationship Id="rId84166632b9b1aa5bc" Type="http://schemas.openxmlformats.org/officeDocument/2006/relationships/hyperlink" Target="http://www.cabi.org/isc/datasheet/19287" TargetMode="External"/><Relationship Id="rId83726632b9b1aa5ea" Type="http://schemas.openxmlformats.org/officeDocument/2006/relationships/hyperlink" Target="https://www.ippc.int/static/media/files/publication/en/2016/01/DP_08_2015_En__2015-12-22_Reformatted.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