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Ditylenchus dipsaci (DITYDI)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Nematoda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Vegetable seed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Candidate: Vegetable seed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Remark for ornamentals:</w:t>
      </w:r>
      <w:r>
        <w:rPr>
          <w:color w:val="0200C9"/>
          <w:sz w:val="24"/>
          <w:szCs w:val="24"/>
        </w:rPr>
        <w:br/>
        <w:t xml:space="preserve">- Allium: There is a large number of Allium species (and within the species, varieties) that are used as ornamentals.</w:t>
      </w:r>
      <w:r>
        <w:rPr>
          <w:color w:val="0200C9"/>
          <w:sz w:val="24"/>
          <w:szCs w:val="24"/>
        </w:rPr>
        <w:br/>
        <w:t xml:space="preserve">Therefore it is suggested to include all Allium for ornamental use in the present evaluation.</w:t>
      </w:r>
      <w:r>
        <w:rPr>
          <w:color w:val="0200C9"/>
          <w:sz w:val="24"/>
          <w:szCs w:val="24"/>
        </w:rPr>
        <w:br/>
        <w:t xml:space="preserve">- Ismene (host plant for D. dipsaci as mentioned in Directive 2000/29/EC) is nowadays named Hymenocallis for cultivated ornamental species and varieties.</w:t>
      </w:r>
      <w:r>
        <w:rPr>
          <w:b/>
          <w:bCs/>
          <w:color w:val="000000"/>
          <w:sz w:val="24"/>
          <w:szCs w:val="24"/>
          <w:u w:val="single"/>
        </w:rPr>
        <w:br/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Austria (1993); Belgium (2007); Bulgaria (1993); Croatia (1996); Cyprus (1993); Czech Republic (1994); Denmark (1993); Estonia (1994); Finland (1993); France (2010); Germany (2014); Greece (1996); Hungary (2001); Ireland (1998); Italy (1992); Italy/Sicilia (2002); Latvia (2013); Lithuania (1998); Malta (1995); Netherlands (2015); Poland (2012); Portugal (1992); Portugal/Azores (1994); Romania (2011); Slovakia (2007); Slovenia (2003); Spain (2007); Sweden (1993); United Kingdom (1993); United Kingdom/England (1994); United Kingdom/Scotland (1994)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candidate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19616628ed003cffb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 </w:t>
      </w:r>
      <w:r>
        <w:rPr>
          <w:color w:val="149613"/>
          <w:sz w:val="24"/>
          <w:szCs w:val="24"/>
        </w:rPr>
        <w:t xml:space="preserve">Allium schoenoprasum (ALLSC)</w:t>
      </w:r>
      <w:r>
        <w:rPr>
          <w:color w:val="000000"/>
          <w:sz w:val="24"/>
          <w:szCs w:val="24"/>
        </w:rPr>
        <w:t xml:space="preserve"> for the Vegetable seed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Origin of the listing: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IIA2AWG</w:t>
      </w:r>
      <w:r>
        <w:rPr>
          <w:color w:val="000000"/>
          <w:sz w:val="24"/>
          <w:szCs w:val="24"/>
          <w:u w:val="single"/>
        </w:rPr>
        <w:br/>
        <w:t xml:space="preserve">Plants for planting: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Seeds and bulbs intended for planting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3 - Is the pest already listed in a PM4 standard on the concerned host plant?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</w:t>
      </w:r>
      <w:r>
        <w:rPr>
          <w:color w:val="000000"/>
          <w:sz w:val="24"/>
          <w:szCs w:val="24"/>
        </w:rPr>
        <w:t xml:space="preserve"> 
</w:t>
      </w:r>
      <w:r>
        <w:rPr>
          <w:color w:val="000000"/>
          <w:sz w:val="24"/>
          <w:szCs w:val="24"/>
          <w:u w:val="single"/>
        </w:rPr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Evaluation continues</w:t>
      </w:r>
      <w:r>
        <w:rPr>
          <w:b/>
          <w:bCs/>
          <w:color w:val="000000"/>
          <w:sz w:val="24"/>
          <w:szCs w:val="24"/>
          <w:u w:val="single"/>
        </w:rPr>
        <w:br/>
        <w:t xml:space="preserve">4 - Are the listed plants for planting the main* pathway for the "pest/host/intended use" combination? (*: significant compared to others):</w:t>
      </w:r>
      <w:r>
        <w:rPr>
          <w:color w:val="000000"/>
          <w:sz w:val="24"/>
          <w:szCs w:val="24"/>
        </w:rPr>
        <w:t xml:space="preserve">
</w:t>
      </w:r>
      <w:r>
        <w:rPr>
          <w:color w:val="F30000"/>
          <w:sz w:val="24"/>
          <w:szCs w:val="24"/>
        </w:rPr>
        <w:t xml:space="preserve">No</w:t>
      </w:r>
      <w:r>
        <w:rPr>
          <w:color w:val="000000"/>
          <w:sz w:val="24"/>
          <w:szCs w:val="24"/>
        </w:rPr>
        <w:t xml:space="preserve"> 
</w:t>
      </w:r>
      <w:r>
        <w:rPr>
          <w:color w:val="000000"/>
          <w:sz w:val="24"/>
          <w:szCs w:val="24"/>
          <w:u w:val="single"/>
        </w:rPr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F30000"/>
          <w:sz w:val="24"/>
          <w:szCs w:val="24"/>
        </w:rPr>
        <w:t xml:space="preserve">Not candidate</w:t>
      </w:r>
      <w:r>
        <w:rPr>
          <w:color w:val="000000"/>
          <w:sz w:val="24"/>
          <w:szCs w:val="24"/>
        </w:rPr>
        <w:br/>
        <w:t xml:space="preserve"> 
</w:t>
      </w:r>
      <w:r>
        <w:rPr>
          <w:color w:val="000000"/>
          <w:sz w:val="24"/>
          <w:szCs w:val="24"/>
          <w:u w:val="single"/>
        </w:rPr>
        <w:t xml:space="preserve">Justification:</w:t>
      </w:r>
      <w:r>
        <w:rPr>
          <w:color w:val="000000"/>
          <w:sz w:val="24"/>
          <w:szCs w:val="24"/>
        </w:rPr>
        <w:t xml:space="preserve">
</w:t>
      </w:r>
      <w:r>
        <w:rPr>
          <w:color w:val="F30000"/>
          <w:sz w:val="24"/>
          <w:szCs w:val="24"/>
        </w:rPr>
        <w:t xml:space="preserve">A survey of commercial seeds samples in the UK showed no findings in seed stocks of chive, though the pest was found in other Allium spp. (Green &amp; Sime, 1979). Only one record was found for D. dipsaci being a pest of chives (Monnet &amp; Thibault, 2003). Other sources of infection are nematode-infested soil, infested debris and D. dipsaci-infested weeds. Due to the absence of seed-borne infestation in this host and the availability of other inoculum sources in the environment, it is concluded seed is not a pathway. Also, apart from one record, the host does not appear to be affected by the pest.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Disqualified: a 'Substantially free from' requirement would be sufficient.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8 - Tolerance level:</w:t>
      </w:r>
      <w:r>
        <w:rPr>
          <w:color w:val="000000"/>
          <w:sz w:val="24"/>
          <w:szCs w:val="24"/>
          <w:u w:val="single"/>
        </w:rPr>
        <w:br/>
        <w:t xml:space="preserve">Is there a need to change the Tolerance level: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Proposed Tolerance levels: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Delisting.</w:t>
      </w:r>
      <w:r>
        <w:rPr>
          <w:b/>
          <w:bCs/>
          <w:color w:val="000000"/>
          <w:sz w:val="24"/>
          <w:szCs w:val="24"/>
          <w:u w:val="single"/>
        </w:rPr>
        <w:br/>
        <w:t xml:space="preserve">9 - Risk management measures:</w:t>
      </w:r>
      <w:r>
        <w:rPr>
          <w:color w:val="000000"/>
          <w:sz w:val="24"/>
          <w:szCs w:val="24"/>
          <w:u w:val="single"/>
        </w:rPr>
        <w:br/>
        <w:t xml:space="preserve">Is there a need to change the Risk management measure: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Proposed Risk management measure: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Delisting.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REFERENCES: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CABI (Centre for Agricultural Bioscience International) (2015). Online. Datasheets Ditylenchus dipsaci (stem and bulb nematode). Invasive species compendium. CABI, Wallingford, UK. Available from </w:t>
      </w:r>
      <w:hyperlink r:id="rId63296628ed003d27a" w:history="1">
        <w:r>
          <w:rPr>
            <w:color w:val="0200C9"/>
            <w:sz w:val="24"/>
            <w:szCs w:val="24"/>
          </w:rPr>
          <w:t xml:space="preserve">http://www.cabi.org/isc/datasheet/19287</w:t>
        </w:r>
      </w:hyperlink>
      <w:r>
        <w:rPr>
          <w:color w:val="0200C9"/>
          <w:sz w:val="24"/>
          <w:szCs w:val="24"/>
        </w:rPr>
        <w:t xml:space="preserve">;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EU COM (2016) Recommendation of the Working Group on the Annexes of the Council Directive 2000/29/EC – Section II – Listing of Harmful Organisms as regards the future listing of Ditylenchus dipsaci (Kuhn) Filipvejev;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Green CD &amp; Sime S (1979) The dispersal of Ditylenchus dipsaci with vegetable seeds. Annals of Applied Biology 92, 263-270;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Monnet Y &amp; Thibault O (2003) Diseases and pests of chives. PHM Revue Horticole 444, 32-33;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1338346">
    <w:multiLevelType w:val="hybridMultilevel"/>
    <w:lvl w:ilvl="0" w:tplc="26148421">
      <w:start w:val="1"/>
      <w:numFmt w:val="decimal"/>
      <w:lvlText w:val="%1."/>
      <w:lvlJc w:val="left"/>
      <w:pPr>
        <w:ind w:left="720" w:hanging="360"/>
      </w:pPr>
    </w:lvl>
    <w:lvl w:ilvl="1" w:tplc="26148421" w:tentative="1">
      <w:start w:val="1"/>
      <w:numFmt w:val="lowerLetter"/>
      <w:lvlText w:val="%2."/>
      <w:lvlJc w:val="left"/>
      <w:pPr>
        <w:ind w:left="1440" w:hanging="360"/>
      </w:pPr>
    </w:lvl>
    <w:lvl w:ilvl="2" w:tplc="26148421" w:tentative="1">
      <w:start w:val="1"/>
      <w:numFmt w:val="lowerRoman"/>
      <w:lvlText w:val="%3."/>
      <w:lvlJc w:val="right"/>
      <w:pPr>
        <w:ind w:left="2160" w:hanging="180"/>
      </w:pPr>
    </w:lvl>
    <w:lvl w:ilvl="3" w:tplc="26148421" w:tentative="1">
      <w:start w:val="1"/>
      <w:numFmt w:val="decimal"/>
      <w:lvlText w:val="%4."/>
      <w:lvlJc w:val="left"/>
      <w:pPr>
        <w:ind w:left="2880" w:hanging="360"/>
      </w:pPr>
    </w:lvl>
    <w:lvl w:ilvl="4" w:tplc="26148421" w:tentative="1">
      <w:start w:val="1"/>
      <w:numFmt w:val="lowerLetter"/>
      <w:lvlText w:val="%5."/>
      <w:lvlJc w:val="left"/>
      <w:pPr>
        <w:ind w:left="3600" w:hanging="360"/>
      </w:pPr>
    </w:lvl>
    <w:lvl w:ilvl="5" w:tplc="26148421" w:tentative="1">
      <w:start w:val="1"/>
      <w:numFmt w:val="lowerRoman"/>
      <w:lvlText w:val="%6."/>
      <w:lvlJc w:val="right"/>
      <w:pPr>
        <w:ind w:left="4320" w:hanging="180"/>
      </w:pPr>
    </w:lvl>
    <w:lvl w:ilvl="6" w:tplc="26148421" w:tentative="1">
      <w:start w:val="1"/>
      <w:numFmt w:val="decimal"/>
      <w:lvlText w:val="%7."/>
      <w:lvlJc w:val="left"/>
      <w:pPr>
        <w:ind w:left="5040" w:hanging="360"/>
      </w:pPr>
    </w:lvl>
    <w:lvl w:ilvl="7" w:tplc="26148421" w:tentative="1">
      <w:start w:val="1"/>
      <w:numFmt w:val="lowerLetter"/>
      <w:lvlText w:val="%8."/>
      <w:lvlJc w:val="left"/>
      <w:pPr>
        <w:ind w:left="5760" w:hanging="360"/>
      </w:pPr>
    </w:lvl>
    <w:lvl w:ilvl="8" w:tplc="2614842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338345">
    <w:multiLevelType w:val="hybridMultilevel"/>
    <w:lvl w:ilvl="0" w:tplc="353633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61338345">
    <w:abstractNumId w:val="61338345"/>
  </w:num>
  <w:num w:numId="61338346">
    <w:abstractNumId w:val="6133834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557022091" Type="http://schemas.microsoft.com/office/2011/relationships/commentsExtended" Target="commentsExtended.xml"/><Relationship Id="rId19616628ed003cffb" Type="http://schemas.openxmlformats.org/officeDocument/2006/relationships/hyperlink" Target="https://gd.eppo.int/" TargetMode="External"/><Relationship Id="rId63296628ed003d27a" Type="http://schemas.openxmlformats.org/officeDocument/2006/relationships/hyperlink" Target="http://www.cabi.org/isc/datasheet/19287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