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Ditylenchus dipsaci (DITYDI)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Nematoda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Candidate: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Remark for ornamentals:</w:t>
      </w:r>
      <w:r>
        <w:rPr>
          <w:color w:val="0200C9"/>
          <w:sz w:val="24"/>
          <w:szCs w:val="24"/>
        </w:rPr>
        <w:br/>
        <w:t xml:space="preserve">- Allium: There is a large number of Allium species (and within the species, varieties) that are used as ornamentals.</w:t>
      </w:r>
      <w:r>
        <w:rPr>
          <w:color w:val="0200C9"/>
          <w:sz w:val="24"/>
          <w:szCs w:val="24"/>
        </w:rPr>
        <w:br/>
        <w:t xml:space="preserve">Therefore it is suggested to include all Allium for ornamental use in the present evaluation.</w:t>
      </w:r>
      <w:r>
        <w:rPr>
          <w:color w:val="0200C9"/>
          <w:sz w:val="24"/>
          <w:szCs w:val="24"/>
        </w:rPr>
        <w:br/>
        <w:t xml:space="preserve">- Ismene (host plant for D. dipsaci as mentioned in Directive 2000/29/EC) is nowadays named Hymenocallis for cultivated ornamental species and varieties.</w:t>
      </w:r>
      <w:r>
        <w:rPr>
          <w:b/>
          <w:bCs/>
          <w:color w:val="000000"/>
          <w:sz w:val="24"/>
          <w:szCs w:val="24"/>
          <w:u w:val="single"/>
        </w:rPr>
        <w:br/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Austria (1993); Belgium (2007); Bulgaria (1993); Croatia (1996); Cyprus (1993); Czech Republic (1994); Denmark (1993); Estonia (1994); Finland (1993); France (2010); Germany (2014); Greece (1996); Hungary (2001); Ireland (1998); Italy (1992); Italy/Sicilia (2002); Latvia (2013); Lithuania (1998); Malta (1995); Netherlands (2015); Poland (2012); Portugal (1992); Portugal/Azores (1994); Romania (2011); Slovakia (2007); Slovenia (2003); Spain (2007); Sweden (1993); United Kingdom (1993); United Kingdom/England (1994); United Kingdom/Scotland (1994)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candidate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981367ef98bccc50c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 </w:t>
      </w:r>
      <w:r>
        <w:rPr>
          <w:color w:val="149613"/>
          <w:sz w:val="24"/>
          <w:szCs w:val="24"/>
        </w:rPr>
        <w:t xml:space="preserve">Allium cepa (ALLCE)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Origin of the listing: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IIA2AWG</w:t>
      </w:r>
      <w:r>
        <w:rPr>
          <w:color w:val="000000"/>
          <w:sz w:val="24"/>
          <w:szCs w:val="24"/>
          <w:u w:val="single"/>
        </w:rPr>
        <w:br/>
        <w:t xml:space="preserve">Plants for planting: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Plants intended for planting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3 - Is the pest already listed in a PM4 standard on the concerned host plant?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</w:rPr>
        <w:t xml:space="preserve"> 
</w:t>
      </w:r>
      <w:r>
        <w:rPr>
          <w:color w:val="000000"/>
          <w:sz w:val="24"/>
          <w:szCs w:val="24"/>
          <w:u w:val="single"/>
        </w:rPr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Evaluation continues</w:t>
      </w:r>
      <w:r>
        <w:rPr>
          <w:b/>
          <w:bCs/>
          <w:color w:val="000000"/>
          <w:sz w:val="24"/>
          <w:szCs w:val="24"/>
          <w:u w:val="single"/>
        </w:rPr>
        <w:br/>
        <w:t xml:space="preserve">4 - Are the listed plants for planting the main* pathway for the "pest/host/intended use" combination? (*: significant compared to others):</w:t>
      </w:r>
      <w:r>
        <w:rPr>
          <w:color w:val="000000"/>
          <w:sz w:val="24"/>
          <w:szCs w:val="24"/>
        </w:rPr>
        <w:t xml:space="preserve">
</w:t>
      </w:r>
      <w:r>
        <w:rPr>
          <w:color w:val="F30000"/>
          <w:sz w:val="24"/>
          <w:szCs w:val="24"/>
        </w:rPr>
        <w:t xml:space="preserve">No</w:t>
      </w:r>
      <w:r>
        <w:rPr>
          <w:color w:val="000000"/>
          <w:sz w:val="24"/>
          <w:szCs w:val="24"/>
        </w:rPr>
        <w:t xml:space="preserve"> 
</w:t>
      </w:r>
      <w:r>
        <w:rPr>
          <w:color w:val="000000"/>
          <w:sz w:val="24"/>
          <w:szCs w:val="24"/>
          <w:u w:val="single"/>
        </w:rPr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F30000"/>
          <w:sz w:val="24"/>
          <w:szCs w:val="24"/>
        </w:rPr>
        <w:t xml:space="preserve">Not candidate</w:t>
      </w:r>
      <w:r>
        <w:rPr>
          <w:color w:val="000000"/>
          <w:sz w:val="24"/>
          <w:szCs w:val="24"/>
        </w:rPr>
        <w:br/>
        <w:t xml:space="preserve"> 
</w:t>
      </w:r>
      <w:r>
        <w:rPr>
          <w:color w:val="000000"/>
          <w:sz w:val="24"/>
          <w:szCs w:val="24"/>
          <w:u w:val="single"/>
        </w:rPr>
        <w:t xml:space="preserve">Justification:</w:t>
      </w:r>
      <w:r>
        <w:rPr>
          <w:color w:val="000000"/>
          <w:sz w:val="24"/>
          <w:szCs w:val="24"/>
        </w:rPr>
        <w:t xml:space="preserve">
</w:t>
      </w:r>
      <w:r>
        <w:rPr>
          <w:color w:val="F30000"/>
          <w:sz w:val="24"/>
          <w:szCs w:val="24"/>
        </w:rPr>
        <w:t xml:space="preserve">A literature and Google search for this species (Allium cepa - onion), being used as an ornamental plant, as opposed to a vegetable plant, did not locate any references. The analysis of the RNQP status continues on the whole Allium genus for ornamental purpose (see corresponding summary sheet).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Disqualified: evaluation of the RNQP status continues for the whole Allium genus (see corresponding summary sheet).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8 - Tolerance level:</w:t>
      </w:r>
      <w:r>
        <w:rPr>
          <w:color w:val="000000"/>
          <w:sz w:val="24"/>
          <w:szCs w:val="24"/>
          <w:u w:val="single"/>
        </w:rPr>
        <w:br/>
        <w:t xml:space="preserve">Is there a need to change the Tolerance level: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Proposed Tolerance levels: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Delisting (Covered by the listing of the whole Allium genus).</w:t>
      </w:r>
      <w:r>
        <w:rPr>
          <w:b/>
          <w:bCs/>
          <w:color w:val="000000"/>
          <w:sz w:val="24"/>
          <w:szCs w:val="24"/>
          <w:u w:val="single"/>
        </w:rPr>
        <w:br/>
        <w:t xml:space="preserve">9 - Risk management measures:</w:t>
      </w:r>
      <w:r>
        <w:rPr>
          <w:color w:val="000000"/>
          <w:sz w:val="24"/>
          <w:szCs w:val="24"/>
          <w:u w:val="single"/>
        </w:rPr>
        <w:br/>
        <w:t xml:space="preserve">Is there a need to change the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Proposed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Delisting (Covered by the listing of the whole Allium genus).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REFERENCES: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CABI (Centre for Agricultural Bioscience International) (2015) Online. Datasheets Ditylenchus dipsaci (stem and bulb nematode). Invasive species compendium. CABI, Wallingford, UK. Available from </w:t>
      </w:r>
      <w:hyperlink r:id="rId481067ef98bccc72f" w:history="1">
        <w:r>
          <w:rPr>
            <w:color w:val="0200C9"/>
            <w:sz w:val="24"/>
            <w:szCs w:val="24"/>
          </w:rPr>
          <w:t xml:space="preserve">http://www.cabi.org/isc/datasheet/19287</w:t>
        </w:r>
      </w:hyperlink>
      <w:r>
        <w:rPr>
          <w:color w:val="0200C9"/>
          <w:sz w:val="24"/>
          <w:szCs w:val="24"/>
        </w:rPr>
        <w:t xml:space="preserve">;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8914794">
    <w:multiLevelType w:val="hybridMultilevel"/>
    <w:lvl w:ilvl="0" w:tplc="30284287">
      <w:start w:val="1"/>
      <w:numFmt w:val="decimal"/>
      <w:lvlText w:val="%1."/>
      <w:lvlJc w:val="left"/>
      <w:pPr>
        <w:ind w:left="720" w:hanging="360"/>
      </w:pPr>
    </w:lvl>
    <w:lvl w:ilvl="1" w:tplc="30284287" w:tentative="1">
      <w:start w:val="1"/>
      <w:numFmt w:val="lowerLetter"/>
      <w:lvlText w:val="%2."/>
      <w:lvlJc w:val="left"/>
      <w:pPr>
        <w:ind w:left="1440" w:hanging="360"/>
      </w:pPr>
    </w:lvl>
    <w:lvl w:ilvl="2" w:tplc="30284287" w:tentative="1">
      <w:start w:val="1"/>
      <w:numFmt w:val="lowerRoman"/>
      <w:lvlText w:val="%3."/>
      <w:lvlJc w:val="right"/>
      <w:pPr>
        <w:ind w:left="2160" w:hanging="180"/>
      </w:pPr>
    </w:lvl>
    <w:lvl w:ilvl="3" w:tplc="30284287" w:tentative="1">
      <w:start w:val="1"/>
      <w:numFmt w:val="decimal"/>
      <w:lvlText w:val="%4."/>
      <w:lvlJc w:val="left"/>
      <w:pPr>
        <w:ind w:left="2880" w:hanging="360"/>
      </w:pPr>
    </w:lvl>
    <w:lvl w:ilvl="4" w:tplc="30284287" w:tentative="1">
      <w:start w:val="1"/>
      <w:numFmt w:val="lowerLetter"/>
      <w:lvlText w:val="%5."/>
      <w:lvlJc w:val="left"/>
      <w:pPr>
        <w:ind w:left="3600" w:hanging="360"/>
      </w:pPr>
    </w:lvl>
    <w:lvl w:ilvl="5" w:tplc="30284287" w:tentative="1">
      <w:start w:val="1"/>
      <w:numFmt w:val="lowerRoman"/>
      <w:lvlText w:val="%6."/>
      <w:lvlJc w:val="right"/>
      <w:pPr>
        <w:ind w:left="4320" w:hanging="180"/>
      </w:pPr>
    </w:lvl>
    <w:lvl w:ilvl="6" w:tplc="30284287" w:tentative="1">
      <w:start w:val="1"/>
      <w:numFmt w:val="decimal"/>
      <w:lvlText w:val="%7."/>
      <w:lvlJc w:val="left"/>
      <w:pPr>
        <w:ind w:left="5040" w:hanging="360"/>
      </w:pPr>
    </w:lvl>
    <w:lvl w:ilvl="7" w:tplc="30284287" w:tentative="1">
      <w:start w:val="1"/>
      <w:numFmt w:val="lowerLetter"/>
      <w:lvlText w:val="%8."/>
      <w:lvlJc w:val="left"/>
      <w:pPr>
        <w:ind w:left="5760" w:hanging="360"/>
      </w:pPr>
    </w:lvl>
    <w:lvl w:ilvl="8" w:tplc="30284287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914793">
    <w:multiLevelType w:val="hybridMultilevel"/>
    <w:lvl w:ilvl="0" w:tplc="66599497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18914793">
    <w:abstractNumId w:val="18914793"/>
  </w:num>
  <w:num w:numId="18914794">
    <w:abstractNumId w:val="1891479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561495855" Type="http://schemas.microsoft.com/office/2011/relationships/commentsExtended" Target="commentsExtended.xml"/><Relationship Id="rId981367ef98bccc50c" Type="http://schemas.openxmlformats.org/officeDocument/2006/relationships/hyperlink" Target="https://gd.eppo.int/" TargetMode="External"/><Relationship Id="rId481067ef98bccc72f" Type="http://schemas.openxmlformats.org/officeDocument/2006/relationships/hyperlink" Target="http://www.cabi.org/isc/datasheet/19287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