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Ditylenchus dipsaci DITYDI</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Nematoda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seed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seed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Remark for ornamentals:</w:t>
      </w:r>
      <w:r>
        <w:rPr>
          <w:color w:val="0200C9"/>
          <w:sz w:val="24"/>
          <w:szCs w:val="24"/>
        </w:rPr>
        <w:br/>
        <w:t xml:space="preserve">- Allium: There is a large number of Allium species (and within the species, varieties) that are used as ornamentals.</w:t>
      </w:r>
      <w:r>
        <w:rPr>
          <w:color w:val="0200C9"/>
          <w:sz w:val="24"/>
          <w:szCs w:val="24"/>
        </w:rPr>
        <w:br/>
        <w:t xml:space="preserve">Therefore it is suggested to include all Allium for ornamental use in the present evaluation.</w:t>
      </w:r>
      <w:r>
        <w:rPr>
          <w:color w:val="0200C9"/>
          <w:sz w:val="24"/>
          <w:szCs w:val="24"/>
        </w:rPr>
        <w:br/>
        <w:t xml:space="preserve">- Ismene (host plant for D. dipsaci as mentioned in Directive 2000/29/EC) is nowadays named Hymenocallis for cultivated ornamental species and varieties.</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(1993); Belgium (2007); Bulgaria (1993); Croatia (1996); Cyprus (1993); Czech Republic (1994); Denmark (1993); Estonia (1994); Finland (1993); France (2010); Germany (2014); Greece (1996); Hungary (2001); Ireland (1998); Italy (1992); Italy/Sicilia (2002); Latvia (2013); Lithuania (1998); Malta (1995); Netherlands (2015); Poland (2012); Portugal (1992); Portugal/Azores (1994); Romania (2011); Slovakia (2007); Slovenia (2003); Spain (2007); Sweden (1993); United Kingdom (1993); United Kingdom/England (1994); United Kingdom/Scotland (1994)</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51986ab29aaed1fbe"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Allium cepa (ALLCE)</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 and bulbs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A survey of commercial seeds samples in the UK showed its occurrence in &gt;3% of seed stocks of onions. Seed transmission of D. dipsaci to the planted crop is well established and planting certified nematode-free seeds is recognized as an important control practice for this disease. In Germany, a tolerance level of five nematodes/300 seeds is used to establish the risk of transmission of the pathogen to seedlings. Seed infestation can be controlled by chemical or hot-water seed treatments and by seed health tests to remove infested stocks.</w:t>
      </w:r>
      <w:r>
        <w:rPr>
          <w:color w:val="0200C9"/>
          <w:sz w:val="24"/>
          <w:szCs w:val="24"/>
        </w:rPr>
        <w:br/>
        <w:t xml:space="preserve">Other sources of infection are nematode-infested soil, infested debris and D. dipsaci-infested weeds. Field control can be by rotation, soil solarization or resistant cultivars, however chemical treatments of soil are not economic for large areas (CABI, 2015).</w:t>
      </w:r>
      <w:r>
        <w:rPr>
          <w:color w:val="0200C9"/>
          <w:sz w:val="24"/>
          <w:szCs w:val="24"/>
        </w:rPr>
        <w:br/>
        <w:t xml:space="preserve">In conclusion seed is a pathway, and with suitable control measures carried out for the alternative inoculum sources, seed can be considered a significant pathway compared to others.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D. dipsaci is one of the most devastating plant-parasitic nematodes, especially in temperate regions. Without control, it can cause complete failure of host crops such as onions and garlic. In Italy up to 60% of onion seedlings died before reaching the transplantation stage. Penetration of onion leaves by D. dipsaci causes leaf deformation and leaf swellings or blister-like areas on the surface. The leaves grow in a disorderly fashion, often hang as if wilted and become chlorotic. Young plants can be killed by high infestations. The inner scales of the bulb are usually more severely attacked than the outer scales. As the season advances the bulbs become soft and when cut open show browning of the scales in concentric circles (CABI 2015).</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 (regardless of whether seed or vegetatively propagated).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approach, based on visual examination, treatment and/or testing.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Seeds:</w:t>
      </w:r>
      <w:r>
        <w:rPr>
          <w:color w:val="0200C9"/>
          <w:sz w:val="24"/>
          <w:szCs w:val="24"/>
        </w:rPr>
        <w:br/>
        <w:t xml:space="preserve">(a) The crop has been inspected at least once at an appropriate time since the beginning of the last complete cycle of vegetation and no symptoms of Ditylenchus dipsaci have been observed;</w:t>
      </w:r>
      <w:r>
        <w:rPr>
          <w:color w:val="0200C9"/>
          <w:sz w:val="24"/>
          <w:szCs w:val="24"/>
        </w:rPr>
        <w:br/>
        <w:t xml:space="preserve">or</w:t>
      </w:r>
      <w:r>
        <w:rPr>
          <w:color w:val="0200C9"/>
          <w:sz w:val="24"/>
          <w:szCs w:val="24"/>
        </w:rPr>
        <w:br/>
        <w:t xml:space="preserve">(b) The harvested seeds have then been found to be free of Ditylenchus dipsaci after laboratory tests on a representative sample;</w:t>
      </w:r>
      <w:r>
        <w:rPr>
          <w:color w:val="0200C9"/>
          <w:sz w:val="24"/>
          <w:szCs w:val="24"/>
        </w:rPr>
        <w:br/>
        <w:t xml:space="preserve">or</w:t>
      </w:r>
      <w:r>
        <w:rPr>
          <w:color w:val="0200C9"/>
          <w:sz w:val="24"/>
          <w:szCs w:val="24"/>
        </w:rPr>
        <w:br/>
        <w:t xml:space="preserve">(c) The planting material has been subjected to an appropriate chemical or physical treatment against Ditylenchus dipsaci and the seeds have then been found to be free of this pest after laboratory tests on a representative sample.</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(Centre for Agricultural Bioscience International) (2015). Online. Datasheets Ditylenchus dipsaci (stem and bulb nematode). Invasive species compendium. CABI, Wallingford, UK. Available from </w:t>
      </w:r>
      <w:hyperlink r:id="rId47766ab29aaed240f" w:history="1">
        <w:r>
          <w:rPr>
            <w:color w:val="0200C9"/>
            <w:sz w:val="24"/>
            <w:szCs w:val="24"/>
          </w:rPr>
          <w:t xml:space="preserve">http://www.cabi.org/isc/datasheet/19287</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Ditylenchus dipsaci (Kuhn) Filipvejev;</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328852">
    <w:multiLevelType w:val="hybridMultilevel"/>
    <w:lvl w:ilvl="0" w:tplc="82119913">
      <w:start w:val="1"/>
      <w:numFmt w:val="decimal"/>
      <w:lvlText w:val="%1."/>
      <w:lvlJc w:val="left"/>
      <w:pPr>
        <w:ind w:left="720" w:hanging="360"/>
      </w:pPr>
    </w:lvl>
    <w:lvl w:ilvl="1" w:tplc="82119913" w:tentative="1">
      <w:start w:val="1"/>
      <w:numFmt w:val="lowerLetter"/>
      <w:lvlText w:val="%2."/>
      <w:lvlJc w:val="left"/>
      <w:pPr>
        <w:ind w:left="1440" w:hanging="360"/>
      </w:pPr>
    </w:lvl>
    <w:lvl w:ilvl="2" w:tplc="82119913" w:tentative="1">
      <w:start w:val="1"/>
      <w:numFmt w:val="lowerRoman"/>
      <w:lvlText w:val="%3."/>
      <w:lvlJc w:val="right"/>
      <w:pPr>
        <w:ind w:left="2160" w:hanging="180"/>
      </w:pPr>
    </w:lvl>
    <w:lvl w:ilvl="3" w:tplc="82119913" w:tentative="1">
      <w:start w:val="1"/>
      <w:numFmt w:val="decimal"/>
      <w:lvlText w:val="%4."/>
      <w:lvlJc w:val="left"/>
      <w:pPr>
        <w:ind w:left="2880" w:hanging="360"/>
      </w:pPr>
    </w:lvl>
    <w:lvl w:ilvl="4" w:tplc="82119913" w:tentative="1">
      <w:start w:val="1"/>
      <w:numFmt w:val="lowerLetter"/>
      <w:lvlText w:val="%5."/>
      <w:lvlJc w:val="left"/>
      <w:pPr>
        <w:ind w:left="3600" w:hanging="360"/>
      </w:pPr>
    </w:lvl>
    <w:lvl w:ilvl="5" w:tplc="82119913" w:tentative="1">
      <w:start w:val="1"/>
      <w:numFmt w:val="lowerRoman"/>
      <w:lvlText w:val="%6."/>
      <w:lvlJc w:val="right"/>
      <w:pPr>
        <w:ind w:left="4320" w:hanging="180"/>
      </w:pPr>
    </w:lvl>
    <w:lvl w:ilvl="6" w:tplc="82119913" w:tentative="1">
      <w:start w:val="1"/>
      <w:numFmt w:val="decimal"/>
      <w:lvlText w:val="%7."/>
      <w:lvlJc w:val="left"/>
      <w:pPr>
        <w:ind w:left="5040" w:hanging="360"/>
      </w:pPr>
    </w:lvl>
    <w:lvl w:ilvl="7" w:tplc="82119913" w:tentative="1">
      <w:start w:val="1"/>
      <w:numFmt w:val="lowerLetter"/>
      <w:lvlText w:val="%8."/>
      <w:lvlJc w:val="left"/>
      <w:pPr>
        <w:ind w:left="5760" w:hanging="360"/>
      </w:pPr>
    </w:lvl>
    <w:lvl w:ilvl="8" w:tplc="82119913" w:tentative="1">
      <w:start w:val="1"/>
      <w:numFmt w:val="lowerRoman"/>
      <w:lvlText w:val="%9."/>
      <w:lvlJc w:val="right"/>
      <w:pPr>
        <w:ind w:left="6480" w:hanging="180"/>
      </w:pPr>
    </w:lvl>
  </w:abstractNum>
  <w:abstractNum w:abstractNumId="72328851">
    <w:multiLevelType w:val="hybridMultilevel"/>
    <w:lvl w:ilvl="0" w:tplc="9946556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2328851">
    <w:abstractNumId w:val="72328851"/>
  </w:num>
  <w:num w:numId="72328852">
    <w:abstractNumId w:val="7232885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687962383" Type="http://schemas.microsoft.com/office/2011/relationships/commentsExtended" Target="commentsExtended.xml"/><Relationship Id="rId51986ab29aaed1fbe" Type="http://schemas.openxmlformats.org/officeDocument/2006/relationships/hyperlink" Target="https://gd.eppo.int/" TargetMode="External"/><Relationship Id="rId47766ab29aaed240f" Type="http://schemas.openxmlformats.org/officeDocument/2006/relationships/hyperlink" Target="http://www.cabi.org/isc/datasheet/19287"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