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Ditylenchus dipsaci DITYDI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for ornamentals:</w:t>
      </w:r>
      <w:r>
        <w:rPr>
          <w:color w:val="0200C9"/>
          <w:sz w:val="24"/>
          <w:szCs w:val="24"/>
        </w:rPr>
        <w:br/>
        <w:t xml:space="preserve">- Allium: There is a large number of Allium species (and within the species, varieties) that are used as ornamentals.</w:t>
      </w:r>
      <w:r>
        <w:rPr>
          <w:color w:val="0200C9"/>
          <w:sz w:val="24"/>
          <w:szCs w:val="24"/>
        </w:rPr>
        <w:br/>
        <w:t xml:space="preserve">Therefore it is suggested to include all Allium for ornamental use in the present evaluation.</w:t>
      </w:r>
      <w:r>
        <w:rPr>
          <w:color w:val="0200C9"/>
          <w:sz w:val="24"/>
          <w:szCs w:val="24"/>
        </w:rPr>
        <w:br/>
        <w:t xml:space="preserve">- Ismene (host plant for D. dipsaci as mentioned in Directive 2000/29/EC) is nowadays named Hymenocallis for cultivated ornamental species and varieties.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(2007); Bulgaria (1993); Croatia (1996); Cyprus (1993); Czech Republic (1994); Denmark (1993); Estonia (1994); Finland (1993); France (2010); Germany (2014); Greece (1996); Hungary (2001); Ireland (1998); Italy (1992); Italy/Sicilia (2002); Latvia (2013); Lithuania (1998); Malta (1995); Netherlands (2015); Poland (2012); Portugal (1992); Portugal/Azores (1994); Romania (2011); Slovakia (2007); Slovenia (2003); Spain (2007); Sweden (1993); United Kingdom (1993); United Kingdom/England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8116ae7633e41d0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 and 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D. dipsaci from infested seed to young seedlings, or on shallot bulbs (sets) for transplanting is well established and planting nematode-free transplants and shallot bulbs is recognized as an important control practice for this pest. Other potential sources of infection are nematode-infested soil, infested debris and infested weeds. Field control can be by rotation, soil solarization or resistant cultivars, however chemical treatments of soil are not economic for large areas (CABI, 2015). In conclusion young plants for transplanting or shallot bulbs are both pathways, and with suitable control measures carried out for the alternative inoculum sources, plants and shallot bulbs can be considered as significant pathways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references to economic impacts on shallot crops could be found. Experts considered that impact is minor.</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(regardless of whether seed or vegetatively propagated).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treatment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 for further propagation:</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not more than 2% of plants have shown symptoms of Ditylenchus dipsaci infestation, those plants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subjected to an appropriate chemical or physical treatment against Ditylenchus dipsaci and the planting material has been found to be free of this pest after laboratory tests on a representative sample.</w:t>
      </w:r>
      <w:r>
        <w:rPr>
          <w:color w:val="0200C9"/>
          <w:sz w:val="24"/>
          <w:szCs w:val="24"/>
        </w:rPr>
        <w:br/>
        <w:br/>
        <w:t xml:space="preserve">Plants for production of a commercial crop:</w:t>
      </w:r>
      <w:r>
        <w:rPr>
          <w:color w:val="0200C9"/>
          <w:sz w:val="24"/>
          <w:szCs w:val="24"/>
        </w:rPr>
        <w:br/>
        <w:t xml:space="preserve">(a) The crop has been inspected at least once at an appropriate time since the beginning of the last complete cycle of vegetation and no symptoms of Ditylenchus dipsaci have been observed;</w:t>
      </w:r>
      <w:r>
        <w:rPr>
          <w:color w:val="0200C9"/>
          <w:sz w:val="24"/>
          <w:szCs w:val="24"/>
        </w:rPr>
        <w:br/>
        <w:t xml:space="preserve">or</w:t>
      </w:r>
      <w:r>
        <w:rPr>
          <w:color w:val="0200C9"/>
          <w:sz w:val="24"/>
          <w:szCs w:val="24"/>
        </w:rPr>
        <w:br/>
        <w:t xml:space="preserve">(b) The crop has been inspected at least once at an appropriate time since the beginning of the last complete cycle of vegetation and plants showing symptoms of Ditylenchus dipsaci have been rogued out immediately, and the planting material has then been found to be free of this pest after laboratory tests on a representative sample;</w:t>
      </w:r>
      <w:r>
        <w:rPr>
          <w:color w:val="0200C9"/>
          <w:sz w:val="24"/>
          <w:szCs w:val="24"/>
        </w:rPr>
        <w:br/>
        <w:t xml:space="preserve">or</w:t>
      </w:r>
      <w:r>
        <w:rPr>
          <w:color w:val="0200C9"/>
          <w:sz w:val="24"/>
          <w:szCs w:val="24"/>
        </w:rPr>
        <w:br/>
        <w:t xml:space="preserve">(c) The planting material has been subject to an appropriate physical or chemical treatment and the planting material has been found to be free of Ditylenchus dipsaci after laboratory tests on a representative sample;</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(2015) Online. Datasheets Ditylenchus dipsaci (stem and bulb nematode). Invasive species compendium. CABI, Wallingford, UK. Available from </w:t>
      </w:r>
      <w:hyperlink r:id="rId85536ae7633e41f1a" w:history="1">
        <w:r>
          <w:rPr>
            <w:color w:val="0200C9"/>
            <w:sz w:val="24"/>
            <w:szCs w:val="24"/>
          </w:rPr>
          <w:t xml:space="preserve">http://www.cabi.org/isc/datasheet/19287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Ditylenchus dipsaci (Kuhn) Filipvejev;</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182203">
    <w:multiLevelType w:val="hybridMultilevel"/>
    <w:lvl w:ilvl="0" w:tplc="16221160">
      <w:start w:val="1"/>
      <w:numFmt w:val="decimal"/>
      <w:lvlText w:val="%1."/>
      <w:lvlJc w:val="left"/>
      <w:pPr>
        <w:ind w:left="720" w:hanging="360"/>
      </w:pPr>
    </w:lvl>
    <w:lvl w:ilvl="1" w:tplc="16221160" w:tentative="1">
      <w:start w:val="1"/>
      <w:numFmt w:val="lowerLetter"/>
      <w:lvlText w:val="%2."/>
      <w:lvlJc w:val="left"/>
      <w:pPr>
        <w:ind w:left="1440" w:hanging="360"/>
      </w:pPr>
    </w:lvl>
    <w:lvl w:ilvl="2" w:tplc="16221160" w:tentative="1">
      <w:start w:val="1"/>
      <w:numFmt w:val="lowerRoman"/>
      <w:lvlText w:val="%3."/>
      <w:lvlJc w:val="right"/>
      <w:pPr>
        <w:ind w:left="2160" w:hanging="180"/>
      </w:pPr>
    </w:lvl>
    <w:lvl w:ilvl="3" w:tplc="16221160" w:tentative="1">
      <w:start w:val="1"/>
      <w:numFmt w:val="decimal"/>
      <w:lvlText w:val="%4."/>
      <w:lvlJc w:val="left"/>
      <w:pPr>
        <w:ind w:left="2880" w:hanging="360"/>
      </w:pPr>
    </w:lvl>
    <w:lvl w:ilvl="4" w:tplc="16221160" w:tentative="1">
      <w:start w:val="1"/>
      <w:numFmt w:val="lowerLetter"/>
      <w:lvlText w:val="%5."/>
      <w:lvlJc w:val="left"/>
      <w:pPr>
        <w:ind w:left="3600" w:hanging="360"/>
      </w:pPr>
    </w:lvl>
    <w:lvl w:ilvl="5" w:tplc="16221160" w:tentative="1">
      <w:start w:val="1"/>
      <w:numFmt w:val="lowerRoman"/>
      <w:lvlText w:val="%6."/>
      <w:lvlJc w:val="right"/>
      <w:pPr>
        <w:ind w:left="4320" w:hanging="180"/>
      </w:pPr>
    </w:lvl>
    <w:lvl w:ilvl="6" w:tplc="16221160" w:tentative="1">
      <w:start w:val="1"/>
      <w:numFmt w:val="decimal"/>
      <w:lvlText w:val="%7."/>
      <w:lvlJc w:val="left"/>
      <w:pPr>
        <w:ind w:left="5040" w:hanging="360"/>
      </w:pPr>
    </w:lvl>
    <w:lvl w:ilvl="7" w:tplc="16221160" w:tentative="1">
      <w:start w:val="1"/>
      <w:numFmt w:val="lowerLetter"/>
      <w:lvlText w:val="%8."/>
      <w:lvlJc w:val="left"/>
      <w:pPr>
        <w:ind w:left="5760" w:hanging="360"/>
      </w:pPr>
    </w:lvl>
    <w:lvl w:ilvl="8" w:tplc="16221160" w:tentative="1">
      <w:start w:val="1"/>
      <w:numFmt w:val="lowerRoman"/>
      <w:lvlText w:val="%9."/>
      <w:lvlJc w:val="right"/>
      <w:pPr>
        <w:ind w:left="6480" w:hanging="180"/>
      </w:pPr>
    </w:lvl>
  </w:abstractNum>
  <w:abstractNum w:abstractNumId="87182202">
    <w:multiLevelType w:val="hybridMultilevel"/>
    <w:lvl w:ilvl="0" w:tplc="111706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182202">
    <w:abstractNumId w:val="87182202"/>
  </w:num>
  <w:num w:numId="87182203">
    <w:abstractNumId w:val="871822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90803082" Type="http://schemas.microsoft.com/office/2011/relationships/commentsExtended" Target="commentsExtended.xml"/><Relationship Id="rId78116ae7633e41d07" Type="http://schemas.openxmlformats.org/officeDocument/2006/relationships/hyperlink" Target="https://gd.eppo.int/" TargetMode="External"/><Relationship Id="rId85536ae7633e41f1a" Type="http://schemas.openxmlformats.org/officeDocument/2006/relationships/hyperlink" Target="http://www.cabi.org/isc/datasheet/192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