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1576622a598d06a2"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or on shallot bulbs (sets) for transplanting is well established and planting nematode-free transplants and shallot bulbs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 In conclusion young plants for transplanting or shallot bulbs are both pathways, and with suitable control measures carried out for the alternative inoculum sources, plants and shallot bulbs can be considered as significant pathways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w:t>
      </w:r>
      <w:r>
        <w:rPr>
          <w:color w:val="000000"/>
          <w:sz w:val="24"/>
          <w:szCs w:val="24"/>
          <w:u w:val="single"/>
        </w:rPr>
        <w:br/>
        <w:t xml:space="preserve">Justification:</w:t>
      </w:r>
      <w:r>
        <w:rPr>
          <w:color w:val="000000"/>
          <w:sz w:val="24"/>
          <w:szCs w:val="24"/>
        </w:rPr>
        <w:t xml:space="preserve">
</w:t>
      </w:r>
      <w:r>
        <w:rPr>
          <w:color w:val="0200C9"/>
          <w:sz w:val="24"/>
          <w:szCs w:val="24"/>
        </w:rPr>
        <w:t xml:space="preserve">No specific references to economic impacts on shallot crops could be found. Experts considered that impact is minor.</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(regardless of whether seed or vegetatively propagated).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treatment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 for further propagation:</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not more than 2% of plants have shown symptoms of Ditylenchus dipsaci infestation, those plants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subjected to an appropriate chemical or physical treatment against Ditylenchus dipsaci and the planting material has been found to be free of this pest after laboratory tests on a representative sample.</w:t>
      </w:r>
      <w:r>
        <w:rPr>
          <w:color w:val="0200C9"/>
          <w:sz w:val="24"/>
          <w:szCs w:val="24"/>
        </w:rPr>
        <w:br/>
        <w:br/>
        <w:t xml:space="preserve">Plants for production of a commercial crop:</w:t>
      </w:r>
      <w:r>
        <w:rPr>
          <w:color w:val="0200C9"/>
          <w:sz w:val="24"/>
          <w:szCs w:val="24"/>
        </w:rPr>
        <w:br/>
        <w:t xml:space="preserve">(a) The crop has been inspected at least once at an appropriate time since the beginning of the last complete cycle of vegetation and no symptoms of Ditylenchus dipsaci have been observed;</w:t>
      </w:r>
      <w:r>
        <w:rPr>
          <w:color w:val="0200C9"/>
          <w:sz w:val="24"/>
          <w:szCs w:val="24"/>
        </w:rPr>
        <w:br/>
        <w:t xml:space="preserve">or</w:t>
      </w:r>
      <w:r>
        <w:rPr>
          <w:color w:val="0200C9"/>
          <w:sz w:val="24"/>
          <w:szCs w:val="24"/>
        </w:rPr>
        <w:br/>
        <w:t xml:space="preserve">(b) The crop has been inspected at least once at an appropriate time since the beginning of the last complete cycle of vegetation and plants showing symptoms of Ditylenchus dipsaci have been rogued out immediately, and the planting material has then been found to be free of this pest after laboratory tests on a representative sample;</w:t>
      </w:r>
      <w:r>
        <w:rPr>
          <w:color w:val="0200C9"/>
          <w:sz w:val="24"/>
          <w:szCs w:val="24"/>
        </w:rPr>
        <w:br/>
        <w:t xml:space="preserve">or</w:t>
      </w:r>
      <w:r>
        <w:rPr>
          <w:color w:val="0200C9"/>
          <w:sz w:val="24"/>
          <w:szCs w:val="24"/>
        </w:rPr>
        <w:br/>
        <w:t xml:space="preserve">(c) The planting material has been subject to an appropriate physical or chemical treatment and the planting material has been found to be free of Ditylenchus dipsaci after laboratory tests on a representative sample;</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49576622a598d0b6a"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801852">
    <w:multiLevelType w:val="hybridMultilevel"/>
    <w:lvl w:ilvl="0" w:tplc="97965403">
      <w:start w:val="1"/>
      <w:numFmt w:val="decimal"/>
      <w:lvlText w:val="%1."/>
      <w:lvlJc w:val="left"/>
      <w:pPr>
        <w:ind w:left="720" w:hanging="360"/>
      </w:pPr>
    </w:lvl>
    <w:lvl w:ilvl="1" w:tplc="97965403" w:tentative="1">
      <w:start w:val="1"/>
      <w:numFmt w:val="lowerLetter"/>
      <w:lvlText w:val="%2."/>
      <w:lvlJc w:val="left"/>
      <w:pPr>
        <w:ind w:left="1440" w:hanging="360"/>
      </w:pPr>
    </w:lvl>
    <w:lvl w:ilvl="2" w:tplc="97965403" w:tentative="1">
      <w:start w:val="1"/>
      <w:numFmt w:val="lowerRoman"/>
      <w:lvlText w:val="%3."/>
      <w:lvlJc w:val="right"/>
      <w:pPr>
        <w:ind w:left="2160" w:hanging="180"/>
      </w:pPr>
    </w:lvl>
    <w:lvl w:ilvl="3" w:tplc="97965403" w:tentative="1">
      <w:start w:val="1"/>
      <w:numFmt w:val="decimal"/>
      <w:lvlText w:val="%4."/>
      <w:lvlJc w:val="left"/>
      <w:pPr>
        <w:ind w:left="2880" w:hanging="360"/>
      </w:pPr>
    </w:lvl>
    <w:lvl w:ilvl="4" w:tplc="97965403" w:tentative="1">
      <w:start w:val="1"/>
      <w:numFmt w:val="lowerLetter"/>
      <w:lvlText w:val="%5."/>
      <w:lvlJc w:val="left"/>
      <w:pPr>
        <w:ind w:left="3600" w:hanging="360"/>
      </w:pPr>
    </w:lvl>
    <w:lvl w:ilvl="5" w:tplc="97965403" w:tentative="1">
      <w:start w:val="1"/>
      <w:numFmt w:val="lowerRoman"/>
      <w:lvlText w:val="%6."/>
      <w:lvlJc w:val="right"/>
      <w:pPr>
        <w:ind w:left="4320" w:hanging="180"/>
      </w:pPr>
    </w:lvl>
    <w:lvl w:ilvl="6" w:tplc="97965403" w:tentative="1">
      <w:start w:val="1"/>
      <w:numFmt w:val="decimal"/>
      <w:lvlText w:val="%7."/>
      <w:lvlJc w:val="left"/>
      <w:pPr>
        <w:ind w:left="5040" w:hanging="360"/>
      </w:pPr>
    </w:lvl>
    <w:lvl w:ilvl="7" w:tplc="97965403" w:tentative="1">
      <w:start w:val="1"/>
      <w:numFmt w:val="lowerLetter"/>
      <w:lvlText w:val="%8."/>
      <w:lvlJc w:val="left"/>
      <w:pPr>
        <w:ind w:left="5760" w:hanging="360"/>
      </w:pPr>
    </w:lvl>
    <w:lvl w:ilvl="8" w:tplc="97965403" w:tentative="1">
      <w:start w:val="1"/>
      <w:numFmt w:val="lowerRoman"/>
      <w:lvlText w:val="%9."/>
      <w:lvlJc w:val="right"/>
      <w:pPr>
        <w:ind w:left="6480" w:hanging="180"/>
      </w:pPr>
    </w:lvl>
  </w:abstractNum>
  <w:abstractNum w:abstractNumId="87801851">
    <w:multiLevelType w:val="hybridMultilevel"/>
    <w:lvl w:ilvl="0" w:tplc="1015379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801851">
    <w:abstractNumId w:val="87801851"/>
  </w:num>
  <w:num w:numId="87801852">
    <w:abstractNumId w:val="8780185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18815452" Type="http://schemas.microsoft.com/office/2011/relationships/commentsExtended" Target="commentsExtended.xml"/><Relationship Id="rId51576622a598d06a2" Type="http://schemas.openxmlformats.org/officeDocument/2006/relationships/hyperlink" Target="https://gd.eppo.int/" TargetMode="External"/><Relationship Id="rId49576622a598d0b6a"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