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Liriomyza trifolii (LIRITR)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According to the IIA2 AWG (EU COM, 2016) current regulated host plants should be updated to include additional susceptible commodities (A further look may be given to a list of host species published in 2007 by the Annexes Working Group).</w:t>
      </w:r>
      <w:r>
        <w:rPr>
          <w:color w:val="0200C9"/>
          <w:sz w:val="24"/>
          <w:szCs w:val="24"/>
        </w:rPr>
        <w:br/>
        <w:t xml:space="preserve">- For the Fruit sector: the only herbaceous species considered is Fragaria.</w:t>
      </w:r>
      <w:r>
        <w:rPr>
          <w:color w:val="0200C9"/>
          <w:sz w:val="24"/>
          <w:szCs w:val="24"/>
        </w:rPr>
        <w:br/>
        <w:t xml:space="preserve">- For the vegetable sector, the analysis of the RNQP status is proposed for all herbaceous species together.</w:t>
      </w:r>
      <w:r>
        <w:rPr>
          <w:color w:val="0200C9"/>
          <w:sz w:val="24"/>
          <w:szCs w:val="24"/>
        </w:rPr>
        <w:br/>
        <w:t xml:space="preserve">- For the ornamental sector, experts proposed to only regulate the pest on the following major ornamental host plant species: Gypsophila, Chrysanthemum, Aster, Gerbera, Dahlia, Senecio, Zinnia, Iris stolonifera, Brassica, Dianthus, Petunia, Verbena, Eustoma, Solidago, Hedera and Gloxinia.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(2015); Croatia (1996); Cyprus (1993); Finland (2012); France (1994); Greece (2008); Greece/Kriti (2008); Italy (1994); Italy/Sicilia (1994); Italy/Sardegna (1994); Malta (1995); Netherlands (2015); Portugal (1994); Romania (2011); Slovenia (2000); Spain (1996); Spain/Islas Canárias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567662380025a2e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herbaceous species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Liriomyza spp. are easily transported with plant material. Plants for planting (mostly from ornamental plants) were implicated in providing the entry pathway for the first findings of L. trifolii in the following 6 EU Member States - the Netherlands (chrysanthemum cuttings originating from Florida; United Kingdom (chrysanthemum cuttings from cuttings from Kenya and Malta); Hungary (gerbera plants for planting); Bulgaria (gerbera plants for planting from Hungary); Czech Republic (ornamental plants for planting imported from the Netherlands), Finland (Dendranthema cuttings from Tenerife, Canary Islands) (EFSA, 2012).</w:t>
      </w:r>
      <w:r>
        <w:rPr>
          <w:color w:val="F30000"/>
          <w:sz w:val="24"/>
          <w:szCs w:val="24"/>
        </w:rPr>
        <w:br/>
        <w:t xml:space="preserve">Liriomyza spp. are also regularly associated with cut flowers, branches with foliage and leafy vegetables for consumption (EFSA, 2012; Europhyt, 1994 -2012 on Liriomyza, Liriomyza sp., L. huidobrensis). Outdoor populations are widespread in the Mediterranean area. There is little information on the natural dispersal of Liriomyza. L. huidobrensis is a larger and stronger flyer than L. trifolii but all Liriomyza adults are capable of only limited flight. The two species are therefore expected to fly only from a greenhouse to the nearest field or other greenhouse and vice versa (EFSA PLH, 2012).</w:t>
      </w:r>
      <w:r>
        <w:rPr>
          <w:color w:val="F30000"/>
          <w:sz w:val="24"/>
          <w:szCs w:val="24"/>
        </w:rPr>
        <w:br/>
        <w:t xml:space="preserve">In conclusion plants for planting are a pathway, but it is suggested not a significant pathway for Mediterranean countries due to their polyphagy, the frequent occurrence of alternate vegetable and ornamental hosts and suitable environmental conditions, and their capacity for flight. Experts considered that the 'substantially free from' requirement should suffice.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general requirement for substantial freedom should be sufficient for all ornamental hosts, given that symptoms are usually visible on young plants, and in line with the decisions taken in the vegetable sector where impacts are potentially greater because of limited control options. Plants for planting are not (any longer)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9049662380025a57d"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68039">
    <w:multiLevelType w:val="hybridMultilevel"/>
    <w:lvl w:ilvl="0" w:tplc="76272733">
      <w:start w:val="1"/>
      <w:numFmt w:val="decimal"/>
      <w:lvlText w:val="%1."/>
      <w:lvlJc w:val="left"/>
      <w:pPr>
        <w:ind w:left="720" w:hanging="360"/>
      </w:pPr>
    </w:lvl>
    <w:lvl w:ilvl="1" w:tplc="76272733" w:tentative="1">
      <w:start w:val="1"/>
      <w:numFmt w:val="lowerLetter"/>
      <w:lvlText w:val="%2."/>
      <w:lvlJc w:val="left"/>
      <w:pPr>
        <w:ind w:left="1440" w:hanging="360"/>
      </w:pPr>
    </w:lvl>
    <w:lvl w:ilvl="2" w:tplc="76272733" w:tentative="1">
      <w:start w:val="1"/>
      <w:numFmt w:val="lowerRoman"/>
      <w:lvlText w:val="%3."/>
      <w:lvlJc w:val="right"/>
      <w:pPr>
        <w:ind w:left="2160" w:hanging="180"/>
      </w:pPr>
    </w:lvl>
    <w:lvl w:ilvl="3" w:tplc="76272733" w:tentative="1">
      <w:start w:val="1"/>
      <w:numFmt w:val="decimal"/>
      <w:lvlText w:val="%4."/>
      <w:lvlJc w:val="left"/>
      <w:pPr>
        <w:ind w:left="2880" w:hanging="360"/>
      </w:pPr>
    </w:lvl>
    <w:lvl w:ilvl="4" w:tplc="76272733" w:tentative="1">
      <w:start w:val="1"/>
      <w:numFmt w:val="lowerLetter"/>
      <w:lvlText w:val="%5."/>
      <w:lvlJc w:val="left"/>
      <w:pPr>
        <w:ind w:left="3600" w:hanging="360"/>
      </w:pPr>
    </w:lvl>
    <w:lvl w:ilvl="5" w:tplc="76272733" w:tentative="1">
      <w:start w:val="1"/>
      <w:numFmt w:val="lowerRoman"/>
      <w:lvlText w:val="%6."/>
      <w:lvlJc w:val="right"/>
      <w:pPr>
        <w:ind w:left="4320" w:hanging="180"/>
      </w:pPr>
    </w:lvl>
    <w:lvl w:ilvl="6" w:tplc="76272733" w:tentative="1">
      <w:start w:val="1"/>
      <w:numFmt w:val="decimal"/>
      <w:lvlText w:val="%7."/>
      <w:lvlJc w:val="left"/>
      <w:pPr>
        <w:ind w:left="5040" w:hanging="360"/>
      </w:pPr>
    </w:lvl>
    <w:lvl w:ilvl="7" w:tplc="76272733" w:tentative="1">
      <w:start w:val="1"/>
      <w:numFmt w:val="lowerLetter"/>
      <w:lvlText w:val="%8."/>
      <w:lvlJc w:val="left"/>
      <w:pPr>
        <w:ind w:left="5760" w:hanging="360"/>
      </w:pPr>
    </w:lvl>
    <w:lvl w:ilvl="8" w:tplc="76272733" w:tentative="1">
      <w:start w:val="1"/>
      <w:numFmt w:val="lowerRoman"/>
      <w:lvlText w:val="%9."/>
      <w:lvlJc w:val="right"/>
      <w:pPr>
        <w:ind w:left="6480" w:hanging="180"/>
      </w:pPr>
    </w:lvl>
  </w:abstractNum>
  <w:abstractNum w:abstractNumId="97268038">
    <w:multiLevelType w:val="hybridMultilevel"/>
    <w:lvl w:ilvl="0" w:tplc="77228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68038">
    <w:abstractNumId w:val="97268038"/>
  </w:num>
  <w:num w:numId="97268039">
    <w:abstractNumId w:val="972680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4569494" Type="http://schemas.microsoft.com/office/2011/relationships/commentsExtended" Target="commentsExtended.xml"/><Relationship Id="rId6567662380025a2e7" Type="http://schemas.openxmlformats.org/officeDocument/2006/relationships/hyperlink" Target="https://gd.eppo.int/" TargetMode="External"/><Relationship Id="rId9049662380025a57d" Type="http://schemas.openxmlformats.org/officeDocument/2006/relationships/hyperlink" Target="http://www.efsa.europa.eu/sites/default/files/scientific_output/files/main_documents/30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