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Liriomyza huidobrensis (LIRIHU)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According to the IIA2 AWG (EU COM, 2016) current regulated host plants should be updated to include additional susceptible commodities (A further look may be given to a list of host species published in 2007 by the Annexes Working Group).</w:t>
      </w:r>
      <w:r>
        <w:rPr>
          <w:color w:val="0200C9"/>
          <w:sz w:val="24"/>
          <w:szCs w:val="24"/>
        </w:rPr>
        <w:br/>
        <w:t xml:space="preserve">- For the Fruit sector: the only herbaceous species considered is Fragaria.</w:t>
      </w:r>
      <w:r>
        <w:rPr>
          <w:color w:val="0200C9"/>
          <w:sz w:val="24"/>
          <w:szCs w:val="24"/>
        </w:rPr>
        <w:br/>
        <w:t xml:space="preserve">- For the vegetable sector, the analysis of the RNQP status is proposed for all herbaceous species together.</w:t>
      </w:r>
      <w:r>
        <w:rPr>
          <w:color w:val="0200C9"/>
          <w:sz w:val="24"/>
          <w:szCs w:val="24"/>
        </w:rPr>
        <w:br/>
        <w:t xml:space="preserve">- For the ornamental sector, experts proposed to only regulate the pest on the following major ornamental host plant species: Gypsophila, Chrysanthemum, Aster, Gerbera, Dahlia, Senecio, Zinnia, Iris stolonifera, Brassica, Dianthus, Petunia, Verbena, Eustoma, Solidago, Hedera and Gloxinia.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(1992); Bulgaria (2002); Croatia (1999); Cyprus (1995); Czech Republic (1995); Finland (2012); France (1998); Germany (1998); Greece (2008); Greece/Kriti (2008); Hungary (2001); Italy (1994); Italy/Sicilia (1995); Malta (1995); Netherlands (2015); Poland (2002); Portugal (2008); Portugal/Madeira (2008); Spain (2011); Spain/Islas Canárias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57169365418df5d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herbaceous species ()</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 bulbs, — corms, — plants of the family Gramineae, — rhizomes, — seeds, — tubers,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pests are easily transported with plant material. Long distance infestation may also occur via cut flowers and leafy vegetables. Outdoor populations are widespread in the Mediterranean area. There is little information on the natural dispersal of Liriomyza. L. huidobrensis is a larger and stronger flyer than L. trifolii but all Liriomyza adults are capable of only limited flight. The two species are therefore expected to fly only from a greenhouse to the nearest field or other greenhouse and vice versa (EFSA PLH, 2012). The vegetable SEWG concluded that the pest does not qualify for RNQP status because of the importance of other pathways (including local spread from established populations).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this pest/host combination does not qualify for RNQP status because of the importance of other pathways (including local spread from established populations). Propagating material should be “substantially free” (i.e. no tolerance of symptoms on the marketed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risks to plant health posed by Liriomyza huidobrensis (Blanchard) and Liriomyza trifolii (Burgess) to the EU territory with the identification and evaluation of risk reduction options. EFSA Journal 2012;10(12):3028. [190 pp.] doi:10.2903/j.efsa.2012.3028. </w:t>
      </w:r>
      <w:hyperlink r:id="rId603769365418df768" w:history="1">
        <w:r>
          <w:rPr>
            <w:color w:val="0200C9"/>
            <w:sz w:val="24"/>
            <w:szCs w:val="24"/>
          </w:rPr>
          <w:t xml:space="preserve">http://www.efsa.europa.eu/sites/default/files/scientific_output/files/main_documents/3028.pdf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Liriomyza huidobrensis (Branchard) and Liriomyza trifolii (Burgess);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224449">
    <w:multiLevelType w:val="hybridMultilevel"/>
    <w:lvl w:ilvl="0" w:tplc="70398211">
      <w:start w:val="1"/>
      <w:numFmt w:val="decimal"/>
      <w:lvlText w:val="%1."/>
      <w:lvlJc w:val="left"/>
      <w:pPr>
        <w:ind w:left="720" w:hanging="360"/>
      </w:pPr>
    </w:lvl>
    <w:lvl w:ilvl="1" w:tplc="70398211" w:tentative="1">
      <w:start w:val="1"/>
      <w:numFmt w:val="lowerLetter"/>
      <w:lvlText w:val="%2."/>
      <w:lvlJc w:val="left"/>
      <w:pPr>
        <w:ind w:left="1440" w:hanging="360"/>
      </w:pPr>
    </w:lvl>
    <w:lvl w:ilvl="2" w:tplc="70398211" w:tentative="1">
      <w:start w:val="1"/>
      <w:numFmt w:val="lowerRoman"/>
      <w:lvlText w:val="%3."/>
      <w:lvlJc w:val="right"/>
      <w:pPr>
        <w:ind w:left="2160" w:hanging="180"/>
      </w:pPr>
    </w:lvl>
    <w:lvl w:ilvl="3" w:tplc="70398211" w:tentative="1">
      <w:start w:val="1"/>
      <w:numFmt w:val="decimal"/>
      <w:lvlText w:val="%4."/>
      <w:lvlJc w:val="left"/>
      <w:pPr>
        <w:ind w:left="2880" w:hanging="360"/>
      </w:pPr>
    </w:lvl>
    <w:lvl w:ilvl="4" w:tplc="70398211" w:tentative="1">
      <w:start w:val="1"/>
      <w:numFmt w:val="lowerLetter"/>
      <w:lvlText w:val="%5."/>
      <w:lvlJc w:val="left"/>
      <w:pPr>
        <w:ind w:left="3600" w:hanging="360"/>
      </w:pPr>
    </w:lvl>
    <w:lvl w:ilvl="5" w:tplc="70398211" w:tentative="1">
      <w:start w:val="1"/>
      <w:numFmt w:val="lowerRoman"/>
      <w:lvlText w:val="%6."/>
      <w:lvlJc w:val="right"/>
      <w:pPr>
        <w:ind w:left="4320" w:hanging="180"/>
      </w:pPr>
    </w:lvl>
    <w:lvl w:ilvl="6" w:tplc="70398211" w:tentative="1">
      <w:start w:val="1"/>
      <w:numFmt w:val="decimal"/>
      <w:lvlText w:val="%7."/>
      <w:lvlJc w:val="left"/>
      <w:pPr>
        <w:ind w:left="5040" w:hanging="360"/>
      </w:pPr>
    </w:lvl>
    <w:lvl w:ilvl="7" w:tplc="70398211" w:tentative="1">
      <w:start w:val="1"/>
      <w:numFmt w:val="lowerLetter"/>
      <w:lvlText w:val="%8."/>
      <w:lvlJc w:val="left"/>
      <w:pPr>
        <w:ind w:left="5760" w:hanging="360"/>
      </w:pPr>
    </w:lvl>
    <w:lvl w:ilvl="8" w:tplc="70398211" w:tentative="1">
      <w:start w:val="1"/>
      <w:numFmt w:val="lowerRoman"/>
      <w:lvlText w:val="%9."/>
      <w:lvlJc w:val="right"/>
      <w:pPr>
        <w:ind w:left="6480" w:hanging="180"/>
      </w:pPr>
    </w:lvl>
  </w:abstractNum>
  <w:abstractNum w:abstractNumId="79224448">
    <w:multiLevelType w:val="hybridMultilevel"/>
    <w:lvl w:ilvl="0" w:tplc="276223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224448">
    <w:abstractNumId w:val="79224448"/>
  </w:num>
  <w:num w:numId="79224449">
    <w:abstractNumId w:val="792244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5598330" Type="http://schemas.microsoft.com/office/2011/relationships/commentsExtended" Target="commentsExtended.xml"/><Relationship Id="rId857169365418df5de" Type="http://schemas.openxmlformats.org/officeDocument/2006/relationships/hyperlink" Target="https://gd.eppo.int/" TargetMode="External"/><Relationship Id="rId603769365418df768" Type="http://schemas.openxmlformats.org/officeDocument/2006/relationships/hyperlink" Target="http://www.efsa.europa.eu/sites/default/files/scientific_output/files/main_documents/302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