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Liriomyza huidobrensis LIRIHU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Bulgaria (2002); Croatia (1999); Cyprus (1995); Czech Republic (1995); Finland (2012); France (1998); Germany (1998); Greece (2008); Greece/Kriti (2008); Hungary (2001); Italy (1994); Italy/Sicilia (1995); Malta (1995); Netherlands (2015); Poland (2002); Portugal (2008); Portugal/Madeira (2008); Spain (2011); Spain/Islas Canárias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366a405e27b324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herbaceous species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Liriomyza spp. are easily transported with plant material. Plants for planting (mostly from ornamental plants) were implicated in providing the entry pathway for the first findings of L. trifolii in the following 6 EU Member States - the Netherlands (chrysanthemum cuttings originating from Florida; United Kingdom (chrysanthemum cuttings from cuttings from Kenya and Malta); Hungary (gerbera plants for planting); Bulgaria (gerbera plants for planting from Hungary); Czech Republic (ornamental plants for planting imported from the Netherlands), Finland (Dendranthema cuttings from Tenerife, Canary Islands) (EFSA, 2012).</w:t>
      </w:r>
      <w:r>
        <w:rPr>
          <w:color w:val="F30000"/>
          <w:sz w:val="24"/>
          <w:szCs w:val="24"/>
        </w:rPr>
        <w:br/>
        <w:t xml:space="preserve">Liriomyza spp. are also regularly associated with cut flowers, branches with foliage and leafy vegetables for consumption (EFSA, 2012; Europhyt, 1994 -2012 on Liriomyza, Liriomyza sp., L. huidobrensis).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w:t>
      </w:r>
      <w:r>
        <w:rPr>
          <w:color w:val="F30000"/>
          <w:sz w:val="24"/>
          <w:szCs w:val="24"/>
        </w:rPr>
        <w:br/>
        <w:t xml:space="preserve">In conclusion plants for planting are a pathway, but it is suggested not a significant pathway for Mediterranean countries due to their polyphagy, the frequent occurrence of alternate vegetable and ornamental hosts and suitable environmental conditions, and their capacity for flight. Experts considered that the 'substantially free from' requirement should suffice.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huidobrensis and L. trifolii include are highly polyphagous, have a high reproductive potential (may have 10 generations per year) and are difficult to detect during early stages of infestation (freshly laid eggs and mines made by young larvae together with pupae on the plant or attached soil may be overlooked).</w:t>
      </w:r>
      <w:r>
        <w:rPr>
          <w:color w:val="0200C9"/>
          <w:sz w:val="24"/>
          <w:szCs w:val="24"/>
        </w:rPr>
        <w:br/>
        <w:t xml:space="preserve">In countries with a Mediterranean climate the impact is minor, because outdoor and protected crop production is rarely reduced by either Liriomyza species and, if so, only to a limited extent; additional control measures are rarely necessary.</w:t>
      </w:r>
      <w:r>
        <w:rPr>
          <w:color w:val="0200C9"/>
          <w:sz w:val="24"/>
          <w:szCs w:val="24"/>
        </w:rPr>
        <w:br/>
        <w:t xml:space="preserve">In countries with a non-Mediterranean climate the impact in protected crops is moderate because production is occasionally reduced by both L. species to a limited extent; additional control measures are occasionally necessary. The impact of both the Liriomyza species in the past was major at some locations and, at present, it is generally minor in field crops and occasionally moderate on indoor ornamentals and tomatoes.</w:t>
      </w:r>
      <w:r>
        <w:rPr>
          <w:color w:val="0200C9"/>
          <w:sz w:val="24"/>
          <w:szCs w:val="24"/>
        </w:rPr>
        <w:br/>
        <w:t xml:space="preserve">In countries with a non-Mediterranean climate the impact on outdoor crops is minimal for L. trifolii as differences in outdoor host crop production are within normal day-to-day variation; no additional control measures are required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minor to medium. Moreover ornamentals infested with Liriomyza may pose an unacceptable risk to vegetable crops which sometimes are grown in the same premises.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general requirement for substantial freedom should be sufficient for all ornamental hosts, given that symptoms are usually visible on young plants, and in line with the decisions taken in the vegetable sector where impacts are potentially greater because of limited control options. Plants for planting are not (any longer)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61166a405e27b367c"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465672">
    <w:multiLevelType w:val="hybridMultilevel"/>
    <w:lvl w:ilvl="0" w:tplc="41880422">
      <w:start w:val="1"/>
      <w:numFmt w:val="decimal"/>
      <w:lvlText w:val="%1."/>
      <w:lvlJc w:val="left"/>
      <w:pPr>
        <w:ind w:left="720" w:hanging="360"/>
      </w:pPr>
    </w:lvl>
    <w:lvl w:ilvl="1" w:tplc="41880422" w:tentative="1">
      <w:start w:val="1"/>
      <w:numFmt w:val="lowerLetter"/>
      <w:lvlText w:val="%2."/>
      <w:lvlJc w:val="left"/>
      <w:pPr>
        <w:ind w:left="1440" w:hanging="360"/>
      </w:pPr>
    </w:lvl>
    <w:lvl w:ilvl="2" w:tplc="41880422" w:tentative="1">
      <w:start w:val="1"/>
      <w:numFmt w:val="lowerRoman"/>
      <w:lvlText w:val="%3."/>
      <w:lvlJc w:val="right"/>
      <w:pPr>
        <w:ind w:left="2160" w:hanging="180"/>
      </w:pPr>
    </w:lvl>
    <w:lvl w:ilvl="3" w:tplc="41880422" w:tentative="1">
      <w:start w:val="1"/>
      <w:numFmt w:val="decimal"/>
      <w:lvlText w:val="%4."/>
      <w:lvlJc w:val="left"/>
      <w:pPr>
        <w:ind w:left="2880" w:hanging="360"/>
      </w:pPr>
    </w:lvl>
    <w:lvl w:ilvl="4" w:tplc="41880422" w:tentative="1">
      <w:start w:val="1"/>
      <w:numFmt w:val="lowerLetter"/>
      <w:lvlText w:val="%5."/>
      <w:lvlJc w:val="left"/>
      <w:pPr>
        <w:ind w:left="3600" w:hanging="360"/>
      </w:pPr>
    </w:lvl>
    <w:lvl w:ilvl="5" w:tplc="41880422" w:tentative="1">
      <w:start w:val="1"/>
      <w:numFmt w:val="lowerRoman"/>
      <w:lvlText w:val="%6."/>
      <w:lvlJc w:val="right"/>
      <w:pPr>
        <w:ind w:left="4320" w:hanging="180"/>
      </w:pPr>
    </w:lvl>
    <w:lvl w:ilvl="6" w:tplc="41880422" w:tentative="1">
      <w:start w:val="1"/>
      <w:numFmt w:val="decimal"/>
      <w:lvlText w:val="%7."/>
      <w:lvlJc w:val="left"/>
      <w:pPr>
        <w:ind w:left="5040" w:hanging="360"/>
      </w:pPr>
    </w:lvl>
    <w:lvl w:ilvl="7" w:tplc="41880422" w:tentative="1">
      <w:start w:val="1"/>
      <w:numFmt w:val="lowerLetter"/>
      <w:lvlText w:val="%8."/>
      <w:lvlJc w:val="left"/>
      <w:pPr>
        <w:ind w:left="5760" w:hanging="360"/>
      </w:pPr>
    </w:lvl>
    <w:lvl w:ilvl="8" w:tplc="41880422" w:tentative="1">
      <w:start w:val="1"/>
      <w:numFmt w:val="lowerRoman"/>
      <w:lvlText w:val="%9."/>
      <w:lvlJc w:val="right"/>
      <w:pPr>
        <w:ind w:left="6480" w:hanging="180"/>
      </w:pPr>
    </w:lvl>
  </w:abstractNum>
  <w:abstractNum w:abstractNumId="76465671">
    <w:multiLevelType w:val="hybridMultilevel"/>
    <w:lvl w:ilvl="0" w:tplc="399751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465671">
    <w:abstractNumId w:val="76465671"/>
  </w:num>
  <w:num w:numId="76465672">
    <w:abstractNumId w:val="764656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7677811" Type="http://schemas.microsoft.com/office/2011/relationships/commentsExtended" Target="commentsExtended.xml"/><Relationship Id="rId86366a405e27b3244" Type="http://schemas.openxmlformats.org/officeDocument/2006/relationships/hyperlink" Target="https://gd.eppo.int/" TargetMode="External"/><Relationship Id="rId61166a405e27b367c"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