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4969b016a879d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784869b016a87a0a6"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97736">
    <w:multiLevelType w:val="hybridMultilevel"/>
    <w:lvl w:ilvl="0" w:tplc="83026865">
      <w:start w:val="1"/>
      <w:numFmt w:val="decimal"/>
      <w:lvlText w:val="%1."/>
      <w:lvlJc w:val="left"/>
      <w:pPr>
        <w:ind w:left="720" w:hanging="360"/>
      </w:pPr>
    </w:lvl>
    <w:lvl w:ilvl="1" w:tplc="83026865" w:tentative="1">
      <w:start w:val="1"/>
      <w:numFmt w:val="lowerLetter"/>
      <w:lvlText w:val="%2."/>
      <w:lvlJc w:val="left"/>
      <w:pPr>
        <w:ind w:left="1440" w:hanging="360"/>
      </w:pPr>
    </w:lvl>
    <w:lvl w:ilvl="2" w:tplc="83026865" w:tentative="1">
      <w:start w:val="1"/>
      <w:numFmt w:val="lowerRoman"/>
      <w:lvlText w:val="%3."/>
      <w:lvlJc w:val="right"/>
      <w:pPr>
        <w:ind w:left="2160" w:hanging="180"/>
      </w:pPr>
    </w:lvl>
    <w:lvl w:ilvl="3" w:tplc="83026865" w:tentative="1">
      <w:start w:val="1"/>
      <w:numFmt w:val="decimal"/>
      <w:lvlText w:val="%4."/>
      <w:lvlJc w:val="left"/>
      <w:pPr>
        <w:ind w:left="2880" w:hanging="360"/>
      </w:pPr>
    </w:lvl>
    <w:lvl w:ilvl="4" w:tplc="83026865" w:tentative="1">
      <w:start w:val="1"/>
      <w:numFmt w:val="lowerLetter"/>
      <w:lvlText w:val="%5."/>
      <w:lvlJc w:val="left"/>
      <w:pPr>
        <w:ind w:left="3600" w:hanging="360"/>
      </w:pPr>
    </w:lvl>
    <w:lvl w:ilvl="5" w:tplc="83026865" w:tentative="1">
      <w:start w:val="1"/>
      <w:numFmt w:val="lowerRoman"/>
      <w:lvlText w:val="%6."/>
      <w:lvlJc w:val="right"/>
      <w:pPr>
        <w:ind w:left="4320" w:hanging="180"/>
      </w:pPr>
    </w:lvl>
    <w:lvl w:ilvl="6" w:tplc="83026865" w:tentative="1">
      <w:start w:val="1"/>
      <w:numFmt w:val="decimal"/>
      <w:lvlText w:val="%7."/>
      <w:lvlJc w:val="left"/>
      <w:pPr>
        <w:ind w:left="5040" w:hanging="360"/>
      </w:pPr>
    </w:lvl>
    <w:lvl w:ilvl="7" w:tplc="83026865" w:tentative="1">
      <w:start w:val="1"/>
      <w:numFmt w:val="lowerLetter"/>
      <w:lvlText w:val="%8."/>
      <w:lvlJc w:val="left"/>
      <w:pPr>
        <w:ind w:left="5760" w:hanging="360"/>
      </w:pPr>
    </w:lvl>
    <w:lvl w:ilvl="8" w:tplc="83026865" w:tentative="1">
      <w:start w:val="1"/>
      <w:numFmt w:val="lowerRoman"/>
      <w:lvlText w:val="%9."/>
      <w:lvlJc w:val="right"/>
      <w:pPr>
        <w:ind w:left="6480" w:hanging="180"/>
      </w:pPr>
    </w:lvl>
  </w:abstractNum>
  <w:abstractNum w:abstractNumId="13297735">
    <w:multiLevelType w:val="hybridMultilevel"/>
    <w:lvl w:ilvl="0" w:tplc="49278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97735">
    <w:abstractNumId w:val="13297735"/>
  </w:num>
  <w:num w:numId="13297736">
    <w:abstractNumId w:val="132977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384758" Type="http://schemas.microsoft.com/office/2011/relationships/commentsExtended" Target="commentsExtended.xml"/><Relationship Id="rId414969b016a879d32" Type="http://schemas.openxmlformats.org/officeDocument/2006/relationships/hyperlink" Target="https://gd.eppo.int/" TargetMode="External"/><Relationship Id="rId784869b016a87a0a6"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