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Dothistroma pini DOTSPI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Questionnaire for the Forest reproductive material sector, ENA only proposed the listing of a defined list of host species (Pinus halepensis, P. leucodermis, P. nigra, P. sylvestris, P. brutia, P. radiata, P. pinea, P. canariensis, P. pinaster, P. contorta, P. cembra). However, 19 host species are listed as 'highly susceptible' and 28 species as 'moderately susceptible' (EFSA, 2013). The latest review by Drenkhan et al. listed 109 Pinaceae host taxa documented for Dothistroma species, spanning six genera (Abies, Cedrus, Larix, Picea, Pinus and Pseudotsuga), with Pinus being the dominant host genus, accounting for 95 host taxa. The relative susceptibilities of these hosts to Dothistroma species are reported (Drenkhan et al., 2016). As the three pine needle blight should be regulated together and do not have the same major hosts, experts proposed to keep a listing at the genus level for Pinus.</w:t>
      </w:r>
      <w:r>
        <w:rPr>
          <w:color w:val="0200C9"/>
          <w:sz w:val="24"/>
          <w:szCs w:val="24"/>
        </w:rPr>
        <w:br/>
        <w:t xml:space="preserve">Remark: Dothistroma pini and Dothistroma septosporum were both covered by the Council Directive 2000/29 at the time of the listing of Scirrhia pini in the regulation. They can only be differentiated by molecular tests. Nowadays only Dothistroma septosporum is a synonym of Scirrhia pini.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(2014); Hungary (2011); Slovenia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3226a32a714af6b3" w:history="1">
        <w:r>
          <w:rPr>
            <w:color w:val="0200C9"/>
            <w:sz w:val="24"/>
            <w:szCs w:val="24"/>
          </w:rPr>
          <w:t xml:space="preserve">https://gd.eppo.int/</w:t>
        </w:r>
      </w:hyperlink>
      <w:r>
        <w:rPr>
          <w:color w:val="0200C9"/>
          <w:sz w:val="24"/>
          <w:szCs w:val="24"/>
        </w:rPr>
        <w:t xml:space="preserve">). The list of countries should be revised according to Drenkhan et al.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Pinus (1PIUG)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Host plants intended for planting/grafting (excluding fruit and seeds) is a significant pathway. Other pathways are natural means and host plants and plant parts with foliage not intended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pini is likely to have similar consequences than D. septosporum on its hosts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number of Pinus species.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and the importance of natural spread locally. Where more stringent measures are needed to protect a large area from introduction, these could be considered under quarantine legislation (protected zone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treatments.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Drenkhan R, Tomešová-Haataja V, Fraser S, Bradshaw RE, Vahalík P, Mullett MS, Martín-García J, Bulman LS, Wingfield MJ, Kirisits T, Cech TL, Schmitz S, Baden R, Tubby K, Brown A, Georgieva M, Woods A, Ahumada R, Jankovský L, Thomsen IM, Adamson K, Marçais B, Vuorinen M, Tsopelas P, Koltay A, Halasz A, La Porta N, Anselmi N, Kiesnere R, Markovskaja S, Kačergius A, Papazova-Anakieva I, Risteski M, Sotirovski K, Lazarević J, Solheim H, Boroń P, Bragança H, Chira D, Musolin DL, Selikhovkin AV, Bulgakov TS, Keča N, Karadžić D, Galovic V, Pap P, Markovic M, Poljakovic Pajnik L, Vasic V, Ondrušková E, Piškur B, Sadiković D, Diez JJ, Solla A, Millberg H, Stenlid J, Angst A, Queloz V, Lehtijärvi A, Doğmuş-Lehtijärvi HT, Oskay F, Davydenko K, Meshkova V, Craig D, Woodward S &amp; Barnes I (2016) Global geographic distribution and host range of Dothistroma species: a comprehensive review. Review article. Forest Pathology 46, 408-442;</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Dothistroma septosporum (Dorog.) M. Morelet (Mycosphaerella pini E. Rostrup, syn. Scirrhia pini) and Dothistroma pini Hulbary to the EU territory with the identification and evaluation of risk reduction options. EFSA Journal 2013;11(1):3026 [173 pp.];</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Dothistroma septosporum (Dorog.) M. Morelet (Mycosphaerella pini E. Rostrup, syn. Scirrhia pini) and Dothistroma pini Hulbary ;</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194260">
    <w:multiLevelType w:val="hybridMultilevel"/>
    <w:lvl w:ilvl="0" w:tplc="49681330">
      <w:start w:val="1"/>
      <w:numFmt w:val="decimal"/>
      <w:lvlText w:val="%1."/>
      <w:lvlJc w:val="left"/>
      <w:pPr>
        <w:ind w:left="720" w:hanging="360"/>
      </w:pPr>
    </w:lvl>
    <w:lvl w:ilvl="1" w:tplc="49681330" w:tentative="1">
      <w:start w:val="1"/>
      <w:numFmt w:val="lowerLetter"/>
      <w:lvlText w:val="%2."/>
      <w:lvlJc w:val="left"/>
      <w:pPr>
        <w:ind w:left="1440" w:hanging="360"/>
      </w:pPr>
    </w:lvl>
    <w:lvl w:ilvl="2" w:tplc="49681330" w:tentative="1">
      <w:start w:val="1"/>
      <w:numFmt w:val="lowerRoman"/>
      <w:lvlText w:val="%3."/>
      <w:lvlJc w:val="right"/>
      <w:pPr>
        <w:ind w:left="2160" w:hanging="180"/>
      </w:pPr>
    </w:lvl>
    <w:lvl w:ilvl="3" w:tplc="49681330" w:tentative="1">
      <w:start w:val="1"/>
      <w:numFmt w:val="decimal"/>
      <w:lvlText w:val="%4."/>
      <w:lvlJc w:val="left"/>
      <w:pPr>
        <w:ind w:left="2880" w:hanging="360"/>
      </w:pPr>
    </w:lvl>
    <w:lvl w:ilvl="4" w:tplc="49681330" w:tentative="1">
      <w:start w:val="1"/>
      <w:numFmt w:val="lowerLetter"/>
      <w:lvlText w:val="%5."/>
      <w:lvlJc w:val="left"/>
      <w:pPr>
        <w:ind w:left="3600" w:hanging="360"/>
      </w:pPr>
    </w:lvl>
    <w:lvl w:ilvl="5" w:tplc="49681330" w:tentative="1">
      <w:start w:val="1"/>
      <w:numFmt w:val="lowerRoman"/>
      <w:lvlText w:val="%6."/>
      <w:lvlJc w:val="right"/>
      <w:pPr>
        <w:ind w:left="4320" w:hanging="180"/>
      </w:pPr>
    </w:lvl>
    <w:lvl w:ilvl="6" w:tplc="49681330" w:tentative="1">
      <w:start w:val="1"/>
      <w:numFmt w:val="decimal"/>
      <w:lvlText w:val="%7."/>
      <w:lvlJc w:val="left"/>
      <w:pPr>
        <w:ind w:left="5040" w:hanging="360"/>
      </w:pPr>
    </w:lvl>
    <w:lvl w:ilvl="7" w:tplc="49681330" w:tentative="1">
      <w:start w:val="1"/>
      <w:numFmt w:val="lowerLetter"/>
      <w:lvlText w:val="%8."/>
      <w:lvlJc w:val="left"/>
      <w:pPr>
        <w:ind w:left="5760" w:hanging="360"/>
      </w:pPr>
    </w:lvl>
    <w:lvl w:ilvl="8" w:tplc="49681330" w:tentative="1">
      <w:start w:val="1"/>
      <w:numFmt w:val="lowerRoman"/>
      <w:lvlText w:val="%9."/>
      <w:lvlJc w:val="right"/>
      <w:pPr>
        <w:ind w:left="6480" w:hanging="180"/>
      </w:pPr>
    </w:lvl>
  </w:abstractNum>
  <w:abstractNum w:abstractNumId="90194259">
    <w:multiLevelType w:val="hybridMultilevel"/>
    <w:lvl w:ilvl="0" w:tplc="593454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194259">
    <w:abstractNumId w:val="90194259"/>
  </w:num>
  <w:num w:numId="90194260">
    <w:abstractNumId w:val="901942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7787631" Type="http://schemas.microsoft.com/office/2011/relationships/commentsExtended" Target="commentsExtended.xml"/><Relationship Id="rId23226a32a714af6b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