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pini (DOTSPI)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277662ae79f13716" w:history="1">
        <w:r>
          <w:rPr>
            <w:color w:val="0200C9"/>
            <w:sz w:val="24"/>
            <w:szCs w:val="24"/>
          </w:rPr>
          <w:t xml:space="preserve">https://gd.eppo.int/</w:t>
        </w:r>
      </w:hyperlink>
      <w:r>
        <w:rPr>
          <w:color w:val="0200C9"/>
          <w:sz w:val="24"/>
          <w:szCs w:val="24"/>
        </w:rPr>
        <w:t xml:space="preserve">). The list of countries should be revised according to Drenkhan et al.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Host plants intended for planting/grafting (excluding fruit and seeds) is a significant pathway. Other pathways are natural means and host plants and plant parts with foliage not intended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pini is likely to have similar consequences than D. septosporum on its hosts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32089">
    <w:multiLevelType w:val="hybridMultilevel"/>
    <w:lvl w:ilvl="0" w:tplc="95475755">
      <w:start w:val="1"/>
      <w:numFmt w:val="decimal"/>
      <w:lvlText w:val="%1."/>
      <w:lvlJc w:val="left"/>
      <w:pPr>
        <w:ind w:left="720" w:hanging="360"/>
      </w:pPr>
    </w:lvl>
    <w:lvl w:ilvl="1" w:tplc="95475755" w:tentative="1">
      <w:start w:val="1"/>
      <w:numFmt w:val="lowerLetter"/>
      <w:lvlText w:val="%2."/>
      <w:lvlJc w:val="left"/>
      <w:pPr>
        <w:ind w:left="1440" w:hanging="360"/>
      </w:pPr>
    </w:lvl>
    <w:lvl w:ilvl="2" w:tplc="95475755" w:tentative="1">
      <w:start w:val="1"/>
      <w:numFmt w:val="lowerRoman"/>
      <w:lvlText w:val="%3."/>
      <w:lvlJc w:val="right"/>
      <w:pPr>
        <w:ind w:left="2160" w:hanging="180"/>
      </w:pPr>
    </w:lvl>
    <w:lvl w:ilvl="3" w:tplc="95475755" w:tentative="1">
      <w:start w:val="1"/>
      <w:numFmt w:val="decimal"/>
      <w:lvlText w:val="%4."/>
      <w:lvlJc w:val="left"/>
      <w:pPr>
        <w:ind w:left="2880" w:hanging="360"/>
      </w:pPr>
    </w:lvl>
    <w:lvl w:ilvl="4" w:tplc="95475755" w:tentative="1">
      <w:start w:val="1"/>
      <w:numFmt w:val="lowerLetter"/>
      <w:lvlText w:val="%5."/>
      <w:lvlJc w:val="left"/>
      <w:pPr>
        <w:ind w:left="3600" w:hanging="360"/>
      </w:pPr>
    </w:lvl>
    <w:lvl w:ilvl="5" w:tplc="95475755" w:tentative="1">
      <w:start w:val="1"/>
      <w:numFmt w:val="lowerRoman"/>
      <w:lvlText w:val="%6."/>
      <w:lvlJc w:val="right"/>
      <w:pPr>
        <w:ind w:left="4320" w:hanging="180"/>
      </w:pPr>
    </w:lvl>
    <w:lvl w:ilvl="6" w:tplc="95475755" w:tentative="1">
      <w:start w:val="1"/>
      <w:numFmt w:val="decimal"/>
      <w:lvlText w:val="%7."/>
      <w:lvlJc w:val="left"/>
      <w:pPr>
        <w:ind w:left="5040" w:hanging="360"/>
      </w:pPr>
    </w:lvl>
    <w:lvl w:ilvl="7" w:tplc="95475755" w:tentative="1">
      <w:start w:val="1"/>
      <w:numFmt w:val="lowerLetter"/>
      <w:lvlText w:val="%8."/>
      <w:lvlJc w:val="left"/>
      <w:pPr>
        <w:ind w:left="5760" w:hanging="360"/>
      </w:pPr>
    </w:lvl>
    <w:lvl w:ilvl="8" w:tplc="95475755" w:tentative="1">
      <w:start w:val="1"/>
      <w:numFmt w:val="lowerRoman"/>
      <w:lvlText w:val="%9."/>
      <w:lvlJc w:val="right"/>
      <w:pPr>
        <w:ind w:left="6480" w:hanging="180"/>
      </w:pPr>
    </w:lvl>
  </w:abstractNum>
  <w:abstractNum w:abstractNumId="20732088">
    <w:multiLevelType w:val="hybridMultilevel"/>
    <w:lvl w:ilvl="0" w:tplc="77888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32088">
    <w:abstractNumId w:val="20732088"/>
  </w:num>
  <w:num w:numId="20732089">
    <w:abstractNumId w:val="207320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8815714" Type="http://schemas.microsoft.com/office/2011/relationships/commentsExtended" Target="commentsExtended.xml"/><Relationship Id="rId5277662ae79f1371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