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pini DOTSPI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(2014); Hungary (2011); Slovenia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256a8d0c1dc4e1a" w:history="1">
        <w:r>
          <w:rPr>
            <w:color w:val="0200C9"/>
            <w:sz w:val="24"/>
            <w:szCs w:val="24"/>
          </w:rPr>
          <w:t xml:space="preserve">https://gd.eppo.int/</w:t>
        </w:r>
      </w:hyperlink>
      <w:r>
        <w:rPr>
          <w:color w:val="0200C9"/>
          <w:sz w:val="24"/>
          <w:szCs w:val="24"/>
        </w:rPr>
        <w:t xml:space="preserve">). The list of countries should be revised according to Drenkhan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areas where the pest is present, hosts plants intended for planting/grafting (excluding fruit and seeds) and natural spread appears to be both significant pathways (Mulet et al., 2016). Natural spread cannot be effectively reduced (fungicide treatment is not feasible in infested forest stands) (Bulman et al., 2016). Isolation distances (buffer zones) of several hundred meters around nurseries, if used, do not appear to be sufficient barrier in forest environment. However there is an exception for the plantation of Christmas trees if placed remotely from the forest. Even though natural spread is playing an important role (one expert is of the opinion that natural spread may be more important in areas where the pest is present than plants for planting), expert view is that plants for planting can be a significant pathway leading to economic damage in places of production (nurseries and forests). Other pathways than plants for planting and natural spread, such as plant parts, are less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pini is likely to have similar consequences than D. septosporum on its hosts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Bulman LS, Bradshaw RE, Fraser S, Martín-García J, Barnes I, Musolin DL, La Porta N, Woods AJ, Diez JJ, Koltay A, Drenkhan R, Ahumada R, Poljakovic-Pajnik L, Queloz V, Piškur B, Doğmuş-Lehtijärvi HT, Chira D, Tomešová-Haataja V, Georgieva M, Jankovský L, Anselmi N, Markovskaja S, Papazova-Anakieva I, Sotirovski K, Lazarević J, Adamčíková K, Boroń P, Bragança H, Vettraino AM, Selikhovkin AV, Bulgakov TS &amp; Tubby K (2016) A worldwide perspective on the management and control of Dothistroma needle blight. Forest Pathology 46, 472–488;</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w:t>
      </w:r>
    </w:p>
    <w:p>
      <w:pPr>
        <w:numPr>
          <w:ilvl w:val="0"/>
          <w:numId w:val="1"/>
        </w:numPr>
        <w:spacing w:before="0" w:after="0" w:line="240" w:lineRule="auto"/>
        <w:jc w:val="left"/>
        <w:rPr>
          <w:color w:val="0200C9"/>
          <w:sz w:val="24"/>
          <w:szCs w:val="24"/>
        </w:rPr>
      </w:pPr>
      <w:r>
        <w:rPr>
          <w:color w:val="0200C9"/>
          <w:sz w:val="24"/>
          <w:szCs w:val="24"/>
        </w:rPr>
        <w:t xml:space="preserve">Mullett MS, Tubby KV, Webber JF &amp; Brown AV (2016) A reconsideration of natural dispersal of the pine pathogen Dothistroma septosporum. Plant Pathology;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567125">
    <w:multiLevelType w:val="hybridMultilevel"/>
    <w:lvl w:ilvl="0" w:tplc="96417459">
      <w:start w:val="1"/>
      <w:numFmt w:val="decimal"/>
      <w:lvlText w:val="%1."/>
      <w:lvlJc w:val="left"/>
      <w:pPr>
        <w:ind w:left="720" w:hanging="360"/>
      </w:pPr>
    </w:lvl>
    <w:lvl w:ilvl="1" w:tplc="96417459" w:tentative="1">
      <w:start w:val="1"/>
      <w:numFmt w:val="lowerLetter"/>
      <w:lvlText w:val="%2."/>
      <w:lvlJc w:val="left"/>
      <w:pPr>
        <w:ind w:left="1440" w:hanging="360"/>
      </w:pPr>
    </w:lvl>
    <w:lvl w:ilvl="2" w:tplc="96417459" w:tentative="1">
      <w:start w:val="1"/>
      <w:numFmt w:val="lowerRoman"/>
      <w:lvlText w:val="%3."/>
      <w:lvlJc w:val="right"/>
      <w:pPr>
        <w:ind w:left="2160" w:hanging="180"/>
      </w:pPr>
    </w:lvl>
    <w:lvl w:ilvl="3" w:tplc="96417459" w:tentative="1">
      <w:start w:val="1"/>
      <w:numFmt w:val="decimal"/>
      <w:lvlText w:val="%4."/>
      <w:lvlJc w:val="left"/>
      <w:pPr>
        <w:ind w:left="2880" w:hanging="360"/>
      </w:pPr>
    </w:lvl>
    <w:lvl w:ilvl="4" w:tplc="96417459" w:tentative="1">
      <w:start w:val="1"/>
      <w:numFmt w:val="lowerLetter"/>
      <w:lvlText w:val="%5."/>
      <w:lvlJc w:val="left"/>
      <w:pPr>
        <w:ind w:left="3600" w:hanging="360"/>
      </w:pPr>
    </w:lvl>
    <w:lvl w:ilvl="5" w:tplc="96417459" w:tentative="1">
      <w:start w:val="1"/>
      <w:numFmt w:val="lowerRoman"/>
      <w:lvlText w:val="%6."/>
      <w:lvlJc w:val="right"/>
      <w:pPr>
        <w:ind w:left="4320" w:hanging="180"/>
      </w:pPr>
    </w:lvl>
    <w:lvl w:ilvl="6" w:tplc="96417459" w:tentative="1">
      <w:start w:val="1"/>
      <w:numFmt w:val="decimal"/>
      <w:lvlText w:val="%7."/>
      <w:lvlJc w:val="left"/>
      <w:pPr>
        <w:ind w:left="5040" w:hanging="360"/>
      </w:pPr>
    </w:lvl>
    <w:lvl w:ilvl="7" w:tplc="96417459" w:tentative="1">
      <w:start w:val="1"/>
      <w:numFmt w:val="lowerLetter"/>
      <w:lvlText w:val="%8."/>
      <w:lvlJc w:val="left"/>
      <w:pPr>
        <w:ind w:left="5760" w:hanging="360"/>
      </w:pPr>
    </w:lvl>
    <w:lvl w:ilvl="8" w:tplc="96417459" w:tentative="1">
      <w:start w:val="1"/>
      <w:numFmt w:val="lowerRoman"/>
      <w:lvlText w:val="%9."/>
      <w:lvlJc w:val="right"/>
      <w:pPr>
        <w:ind w:left="6480" w:hanging="180"/>
      </w:pPr>
    </w:lvl>
  </w:abstractNum>
  <w:abstractNum w:abstractNumId="46567124">
    <w:multiLevelType w:val="hybridMultilevel"/>
    <w:lvl w:ilvl="0" w:tplc="13053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567124">
    <w:abstractNumId w:val="46567124"/>
  </w:num>
  <w:num w:numId="46567125">
    <w:abstractNumId w:val="465671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7044978" Type="http://schemas.microsoft.com/office/2011/relationships/commentsExtended" Target="commentsExtended.xml"/><Relationship Id="rId30256a8d0c1dc4e1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