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Dothistroma septosporum (SCIRPI)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Scirrhia pini</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When replying to the Questionnaire for the Forest reproductive material sector, ENA only proposed the listing of a defined list of host species (Pinus halepensis, P. leucodermis, P. nigra, P. sylvestris, P. brutia, P. radiata, P. pinea, P. canariensis, P. pinaster, P. contorta, P. cembra). However, 19 host species are listed as 'highly susceptible' and 28 species as 'moderately susceptible' (EFSA, 2013). The latest review by Drenkhan et al. listed 109 Pinaceae host taxa documented for Dothistroma species, spanning six genera (Abies, Cedrus, Larix, Picea, Pinus and Pseudotsuga), with Pinus being the dominant host genus, accounting for 95 host taxa. The relative susceptibilities of these hosts to Dothistroma species are reported (Drenkhan et al., 2016). As the three pine needle blight should be regulated together and do not have the same major hosts, experts proposed to keep a listing at the genus level for Pinus.</w:t>
      </w:r>
      <w:r>
        <w:rPr>
          <w:color w:val="0200C9"/>
          <w:sz w:val="24"/>
          <w:szCs w:val="24"/>
        </w:rPr>
        <w:br/>
        <w:t xml:space="preserve">Remark: Dothistroma pini and Dothistroma septosporum were both covered by the Council Directive 2000/29 at the time of the listing of Scirrhia pini in the regulation. They can only be differentiated by molecular tests. Nowadays only Dothistroma septosporum is a synonym of Scirrhia pini.</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1228662a3ecc826e7" w:history="1">
        <w:r>
          <w:rPr>
            <w:color w:val="0200C9"/>
            <w:sz w:val="24"/>
            <w:szCs w:val="24"/>
          </w:rPr>
          <w:t xml:space="preserve">https://gd.eppo.int/</w:t>
        </w:r>
      </w:hyperlink>
      <w:r>
        <w:rPr>
          <w:color w:val="0200C9"/>
          <w:sz w:val="24"/>
          <w:szCs w:val="24"/>
        </w:rPr>
        <w:t xml:space="preserve">). The list of countries should be revised according to Drenkhan et al. (2016).</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Pinus (1PIUG)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Host plants intended for planting/grafting (excluding fruit and seeds) is a significant pathway. Other pathways are natural means and host plants and plant parts with foliage not intended for planting.</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D. septosporum has been reported to cause premature defoliation of its hosts, decrease in wood volume and tree mortality (EFSA, 2013).</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Impact is considered major on a number of Pinus species. As the three pine needle blight should be regulated together and do not have the same major hosts, experts agreed to keep a listing at the genus level for Pinus.</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Pest Free Area, Pest Free Place/Site of Production; treatment and inspection</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 based on data. Experts concluded that the RNQP status is justified for the three needle blight pathogens considered together for practical reasons (only distinguishing Dothistroma needle blight and Lecanosticta needle blight during inspections), and the expert view is that plants for planting can be a significant pathway leading to economic damage in places of production (nurseries and forests). The measures should take account of the wide distribution of the pathogens (particularly this species), and the importance of natural spread locally.</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 and/or treatments.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plants originate in areas known to be free from Dothistroma pini, Dothistroma septosporum and Lecanosticta acicola;</w:t>
      </w:r>
      <w:r>
        <w:rPr>
          <w:color w:val="0200C9"/>
          <w:sz w:val="24"/>
          <w:szCs w:val="24"/>
        </w:rPr>
        <w:br/>
        <w:t xml:space="preserve">or</w:t>
      </w:r>
      <w:r>
        <w:rPr>
          <w:color w:val="0200C9"/>
          <w:sz w:val="24"/>
          <w:szCs w:val="24"/>
        </w:rPr>
        <w:br/>
        <w:t xml:space="preserve">(b) No symptoms of needle blight [caused by Dothistroma pini, Dothistroma septosporum or Lecanosticta acicola] have been observed at the site of production or its immediate vicinity since the beginning of the last complete cycle of vegetation;</w:t>
      </w:r>
      <w:r>
        <w:rPr>
          <w:color w:val="0200C9"/>
          <w:sz w:val="24"/>
          <w:szCs w:val="24"/>
        </w:rPr>
        <w:br/>
        <w:t xml:space="preserve">or</w:t>
      </w:r>
      <w:r>
        <w:rPr>
          <w:color w:val="0200C9"/>
          <w:sz w:val="24"/>
          <w:szCs w:val="24"/>
        </w:rPr>
        <w:br/>
        <w:t xml:space="preserve">(c) Appropriate treatments have been carried out against needle blight [caused by Dothistroma pini, Dothistroma septosporum or Lecanosticta acicola] and the plants have been inspected before dispatch and found free from symptoms of needle blight.</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Drenkhan R, Tomešová-Haataja V, Fraser S, Bradshaw RE, Vahalík P, Mullett MS, Martín-García J, Bulman LS, Wingfield MJ, Kirisits T, Cech TL, Schmitz S, Baden R, Tubby K, Brown A, Georgieva M, Woods A, Ahumada R, Jankovský L, Thomsen IM, Adamson K, Marçais B, Vuorinen M, Tsopelas P, Koltay A, Halasz A, La Porta N, Anselmi N, Kiesnere R, Markovskaja S, Kačergius A, Papazova-Anakieva I, Risteski M, Sotirovski K, Lazarević J, Solheim H, Boroń P, Bragança H, Chira D, Musolin DL, Selikhovkin AV, Bulgakov TS, Keča N, Karadžić D, Galovic V, Pap P, Markovic M, Poljakovic Pajnik L, Vasic V, Ondrušková E, Piškur B, Sadiković D, Diez JJ, Solla A, Millberg H, Stenlid J, Angst A, Queloz V, Lehtijärvi A, Doğmuş-Lehtijärvi HT, Oskay F, Davydenko K, Meshkova V, Craig D, Woodward S &amp; Barnes I (2016) Global geographic distribution and host range of Dothistroma species: a comprehensive review. Review article. Forest Pathology 46, 408-442;</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(2013) Scientific Opinion on the risk to plant health posed by Dothistroma septosporum (Dorog.) M. Morelet (Mycosphaerella pini E. Rostrup, syn. Scirrhia pini) and Dothistroma pini Hulbary to the EU territory with the identification and evaluation of risk reduction options. EFSA Journal 2013;11(1):3026 [173 pp.];</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Dothistroma septosporum (Dorog.) M. Morelet (Mycosphaerella pini E. Rostrup, syn. Scirrhia pini) and Dothistroma pini Hulbary ;</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727662">
    <w:multiLevelType w:val="hybridMultilevel"/>
    <w:lvl w:ilvl="0" w:tplc="43579818">
      <w:start w:val="1"/>
      <w:numFmt w:val="decimal"/>
      <w:lvlText w:val="%1."/>
      <w:lvlJc w:val="left"/>
      <w:pPr>
        <w:ind w:left="720" w:hanging="360"/>
      </w:pPr>
    </w:lvl>
    <w:lvl w:ilvl="1" w:tplc="43579818" w:tentative="1">
      <w:start w:val="1"/>
      <w:numFmt w:val="lowerLetter"/>
      <w:lvlText w:val="%2."/>
      <w:lvlJc w:val="left"/>
      <w:pPr>
        <w:ind w:left="1440" w:hanging="360"/>
      </w:pPr>
    </w:lvl>
    <w:lvl w:ilvl="2" w:tplc="43579818" w:tentative="1">
      <w:start w:val="1"/>
      <w:numFmt w:val="lowerRoman"/>
      <w:lvlText w:val="%3."/>
      <w:lvlJc w:val="right"/>
      <w:pPr>
        <w:ind w:left="2160" w:hanging="180"/>
      </w:pPr>
    </w:lvl>
    <w:lvl w:ilvl="3" w:tplc="43579818" w:tentative="1">
      <w:start w:val="1"/>
      <w:numFmt w:val="decimal"/>
      <w:lvlText w:val="%4."/>
      <w:lvlJc w:val="left"/>
      <w:pPr>
        <w:ind w:left="2880" w:hanging="360"/>
      </w:pPr>
    </w:lvl>
    <w:lvl w:ilvl="4" w:tplc="43579818" w:tentative="1">
      <w:start w:val="1"/>
      <w:numFmt w:val="lowerLetter"/>
      <w:lvlText w:val="%5."/>
      <w:lvlJc w:val="left"/>
      <w:pPr>
        <w:ind w:left="3600" w:hanging="360"/>
      </w:pPr>
    </w:lvl>
    <w:lvl w:ilvl="5" w:tplc="43579818" w:tentative="1">
      <w:start w:val="1"/>
      <w:numFmt w:val="lowerRoman"/>
      <w:lvlText w:val="%6."/>
      <w:lvlJc w:val="right"/>
      <w:pPr>
        <w:ind w:left="4320" w:hanging="180"/>
      </w:pPr>
    </w:lvl>
    <w:lvl w:ilvl="6" w:tplc="43579818" w:tentative="1">
      <w:start w:val="1"/>
      <w:numFmt w:val="decimal"/>
      <w:lvlText w:val="%7."/>
      <w:lvlJc w:val="left"/>
      <w:pPr>
        <w:ind w:left="5040" w:hanging="360"/>
      </w:pPr>
    </w:lvl>
    <w:lvl w:ilvl="7" w:tplc="43579818" w:tentative="1">
      <w:start w:val="1"/>
      <w:numFmt w:val="lowerLetter"/>
      <w:lvlText w:val="%8."/>
      <w:lvlJc w:val="left"/>
      <w:pPr>
        <w:ind w:left="5760" w:hanging="360"/>
      </w:pPr>
    </w:lvl>
    <w:lvl w:ilvl="8" w:tplc="43579818" w:tentative="1">
      <w:start w:val="1"/>
      <w:numFmt w:val="lowerRoman"/>
      <w:lvlText w:val="%9."/>
      <w:lvlJc w:val="right"/>
      <w:pPr>
        <w:ind w:left="6480" w:hanging="180"/>
      </w:pPr>
    </w:lvl>
  </w:abstractNum>
  <w:abstractNum w:abstractNumId="27727661">
    <w:multiLevelType w:val="hybridMultilevel"/>
    <w:lvl w:ilvl="0" w:tplc="546559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727661">
    <w:abstractNumId w:val="27727661"/>
  </w:num>
  <w:num w:numId="27727662">
    <w:abstractNumId w:val="2772766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90172138" Type="http://schemas.microsoft.com/office/2011/relationships/commentsExtended" Target="commentsExtended.xml"/><Relationship Id="rId1228662a3ecc826e7"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