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Dothistroma septosporum SCIRPI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Scirrhia pini</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Forest reproductive material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Forest reproductive material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replying to the Questionnaire for the Forest reproductive material sector, ENA only proposed the listing of a defined list of host species (Pinus halepensis, P. leucodermis, P. nigra, P. sylvestris, P. brutia, P. radiata, P. pinea, P. canariensis, P. pinaster, P. contorta, P. cembra). However, 19 host species are listed as 'highly susceptible' and 28 species as 'moderately susceptible' (EFSA, 2013). The latest review by Drenkhan et al. listed 109 Pinaceae host taxa documented for Dothistroma species, spanning six genera (Abies, Cedrus, Larix, Picea, Pinus and Pseudotsuga), with Pinus being the dominant host genus, accounting for 95 host taxa. The relative susceptibilities of these hosts to Dothistroma species are reported (Drenkhan et al., 2016). As the three pine needle blight should be regulated together and do not have the same major hosts, experts proposed to keep a listing at the genus level for Pinus.</w:t>
      </w:r>
      <w:r>
        <w:rPr>
          <w:color w:val="0200C9"/>
          <w:sz w:val="24"/>
          <w:szCs w:val="24"/>
        </w:rPr>
        <w:br/>
        <w:t xml:space="preserve">Remark: Dothistroma pini and Dothistroma septosporum were both covered by the Council Directive 2000/29 at the time of the listing of Scirrhia pini in the regulation. They can only be differentiated by molecular tests. Nowadays only Dothistroma septosporum is a synonym of Scirrhia pini.</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(2012); Belgium (2013); Bulgaria (1993); Croatia (2005); Czech Republic (2013); Denmark (1997); Estonia (2013); Finland (2013); France (2015); Germany (2016); Greece (2013); Hungary (2011); Italy (1993); Latvia (2009); Lithuania (2012); Netherlands (2015); Poland (2016); Portugal (1993); Portugal/Azores (1994); Romania (2011); Slovakia (2006); Slovenia (2013); Spain (1992); Sweden (2016); United Kingdom (2016); United Kingdom/England (2005); United Kingdom/Scotland (2016)</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2786a04dbe9ac561" w:history="1">
        <w:r>
          <w:rPr>
            <w:color w:val="0200C9"/>
            <w:sz w:val="24"/>
            <w:szCs w:val="24"/>
          </w:rPr>
          <w:t xml:space="preserve">https://gd.eppo.int/</w:t>
        </w:r>
      </w:hyperlink>
      <w:r>
        <w:rPr>
          <w:color w:val="0200C9"/>
          <w:sz w:val="24"/>
          <w:szCs w:val="24"/>
        </w:rPr>
        <w:t xml:space="preserve">). The list of countries should be revised according to Drenkhan et al. (2016).</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Pinus (1PIUG)</w:t>
      </w:r>
      <w:r>
        <w:rPr>
          <w:color w:val="000000"/>
          <w:sz w:val="24"/>
          <w:szCs w:val="24"/>
        </w:rPr>
        <w:t xml:space="preserve"> for the Forest reproductive material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In areas where the pest is present, hosts plants intended for planting/grafting (excluding fruit and seeds) and natural spread appears to be both significant pathways (Mulet et al., 2016). Natural spread cannot be effectively reduced (fungicide treatment is not feasible in infested forest stands) (Bulman et al., 2016). Isolation distances (buffer zones) of several hundred meters around nurseries, if used, do not appear to be sufficient barrier in forest environment. However there is an exception for the plantation of Christmas trees if placed remotely from the forest. Even though natural spread is playing an important role, experts concluded that plants for planting can be a significant pathway leading to economic damage in places of production (nurseries and forests stands). Two experts are of the opinion that natural spread may be more important in areas where the pest is present than plants for planting. Other pathways than plants for planting and natural spread, such as plant parts, are less significant.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D. septosporum has been reported to cause premature defoliation of its hosts, decrease in wood volume and tree mortality (EFSA, 2013).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Impact is considered major on a number of Pinus species. As the three pine needle blight should be regulated together and do not have the same major hosts, experts agreed to keep a listing at the genus level for Pinus.</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Pest Free Area, Pest Free Place/Site of Production; treatment and inspection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 based on data. Experts concluded that the RNQP status is justified for the three needle blight pathogens considered together for practical reasons (only distinguishing Dothistroma needle blight and Lecanosticta needle blight during inspections), and the expert view is that plants for planting can be a significant pathway leading to economic damage in places of production (nurseries and forests). The measures should take account of the wide distribution of the pathogens (particularly this species), and the importance of natural spread locally.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the absence of symptoms, for all categories of forest reproductive material (basic, certified and non-certified).</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originate in areas known to be free from Dothistroma pini, Dothistroma septosporum and Lecanosticta acicola;</w:t>
      </w:r>
      <w:r>
        <w:rPr>
          <w:color w:val="0200C9"/>
          <w:sz w:val="24"/>
          <w:szCs w:val="24"/>
        </w:rPr>
        <w:br/>
        <w:t xml:space="preserve">or</w:t>
      </w:r>
      <w:r>
        <w:rPr>
          <w:color w:val="0200C9"/>
          <w:sz w:val="24"/>
          <w:szCs w:val="24"/>
        </w:rPr>
        <w:br/>
        <w:t xml:space="preserve">(b) No symptoms of needle blight [caused by Dothistroma pini, Dothistroma septosporum or Lecanosticta acicola] have been observed at the site of production or its immediate vicinity since the beginning of the last complete cycle of vegetation;</w:t>
      </w:r>
      <w:r>
        <w:rPr>
          <w:color w:val="0200C9"/>
          <w:sz w:val="24"/>
          <w:szCs w:val="24"/>
        </w:rPr>
        <w:br/>
        <w:t xml:space="preserve">or (possibly only applicable to ‘source-identified’ and ‘selected’ material)</w:t>
      </w:r>
      <w:r>
        <w:rPr>
          <w:color w:val="0200C9"/>
          <w:sz w:val="24"/>
          <w:szCs w:val="24"/>
        </w:rPr>
        <w:br/>
        <w:t xml:space="preserve">(c) Appropriate treatments have been carried out against needle blight [caused by Dothistroma pini, Dothistroma septosporum or Lecanosticta acicola] and the plants have been inspected before dispatch and found free from symptoms of needle blight.</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place of production is too large and the SEWG proposed to restrict the risk management measures to the production site. Indeed the definition of measures for the whole place of production is necessary especially when there is a risk of infection by workers, machines … Because of local spread, an isolation distance ('immediate vicinity') is necessary to reduce the infection pressure of the pathogen. The use of two appropriate treatments per year may be sufficient to prevent an unacceptable economic impact on the intended use. Risk management options may depend on the quality of the concerned material (last option possibly only applicable to ‘source-identified’ and ‘selected’ material). The measures take account of the wide distribution of the diseases, and the importance of natural spread locally. Where more stringent measures are needed to protect a large area from introduction, these could be considered under quarantine legislation (protected zone status).</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Bulman LS, Bradshaw RE, Fraser S, Martín-García J, Barnes I, Musolin DL, La Porta N, Woods AJ, Diez JJ, Koltay A, Drenkhan R, Ahumada R, Poljakovic-Pajnik L, Queloz V, Piškur B, Doğmuş-Lehtijärvi HT, Chira D, Tomešová-Haataja V, Georgieva M, Jankovský L, Anselmi N, Markovskaja S, Papazova-Anakieva I, Sotirovski K, Lazarević J, Adamčíková K, Boroń P, Bragança H, Vettraino AM, Selikhovkin AV, Bulgakov TS &amp; Tubby K (2016) A worldwide perspective on the management and control of Dothistroma needle blight. Forest Pathology 46, 472–488;</w:t>
      </w:r>
    </w:p>
    <w:p>
      <w:pPr>
        <w:numPr>
          <w:ilvl w:val="0"/>
          <w:numId w:val="1"/>
        </w:numPr>
        <w:spacing w:before="0" w:after="0" w:line="240" w:lineRule="auto"/>
        <w:jc w:val="left"/>
        <w:rPr>
          <w:color w:val="0200C9"/>
          <w:sz w:val="24"/>
          <w:szCs w:val="24"/>
        </w:rPr>
      </w:pPr>
      <w:r>
        <w:rPr>
          <w:color w:val="0200C9"/>
          <w:sz w:val="24"/>
          <w:szCs w:val="24"/>
        </w:rPr>
        <w:t xml:space="preserve">Drenkhan R, Tomešová-Haataja V, Fraser S, Bradshaw RE, Vahalík P, Mullett MS, Martín-García J, Bulman LS, Wingfield MJ, Kirisits T, Cech TL, Schmitz S, Baden R, Tubby K, Brown A, Georgieva M, Woods A, Ahumada R, Jankovský L, Thomsen IM, Adamson K, Marçais B, Vuorinen M, Tsopelas P, Koltay A, Halasz A, La Porta N, Anselmi N, Kiesnere R, Markovskaja S, Kačergius A, Papazova-Anakieva I, Risteski M, Sotirovski K, Lazarević J, Solheim H, Boroń P, Bragança H, Chira D, Musolin DL, Selikhovkin AV, Bulgakov TS, Keča N, Karadžić D, Galovic V, Pap P, Markovic M, Poljakovic Pajnik L, Vasic V, Ondrušková E, Piškur B, Sadiković D, Diez JJ, Solla A, Millberg H, Stenlid J, Angst A, Queloz V, Lehtijärvi A, Doğmuş-Lehtijärvi HT, Oskay F, Davydenko K, Meshkova V, Craig D, Woodward S &amp; Barnes I (2016) Global geographic distribution and host range of Dothistroma species: a comprehensive review. Review article. Forest Pathology 46, 408-442;</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(2013) Scientific Opinion on the risk to plant health posed by Dothistroma septosporum (Dorog.) M. Morelet (Mycosphaerella pini E. Rostrup, syn. Scirrhia pini) and Dothistroma pini Hulbary to the EU territory with the identification and evaluation of risk reduction options. EFSA Journal 2013;11(1):3026 [173 pp.];</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Dothistroma septosporum (Dorog.) M. Morelet (Mycosphaerella pini E. Rostrup, syn. Scirrhia pini) and Dothistroma pini Hulbary;</w:t>
      </w:r>
    </w:p>
    <w:p>
      <w:pPr>
        <w:numPr>
          <w:ilvl w:val="0"/>
          <w:numId w:val="1"/>
        </w:numPr>
        <w:spacing w:before="0" w:after="0" w:line="240" w:lineRule="auto"/>
        <w:jc w:val="left"/>
        <w:rPr>
          <w:color w:val="0200C9"/>
          <w:sz w:val="24"/>
          <w:szCs w:val="24"/>
        </w:rPr>
      </w:pPr>
      <w:r>
        <w:rPr>
          <w:color w:val="0200C9"/>
          <w:sz w:val="24"/>
          <w:szCs w:val="24"/>
        </w:rPr>
        <w:t xml:space="preserve">Mullett MS, Tubby KV, Webber JF &amp; Brown AV (2016) A reconsideration of natural dispersal of the pine pathogen Dothistroma septosporum. Plant Pathology 65, 1462–1472;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915084">
    <w:multiLevelType w:val="hybridMultilevel"/>
    <w:lvl w:ilvl="0" w:tplc="94583630">
      <w:start w:val="1"/>
      <w:numFmt w:val="decimal"/>
      <w:lvlText w:val="%1."/>
      <w:lvlJc w:val="left"/>
      <w:pPr>
        <w:ind w:left="720" w:hanging="360"/>
      </w:pPr>
    </w:lvl>
    <w:lvl w:ilvl="1" w:tplc="94583630" w:tentative="1">
      <w:start w:val="1"/>
      <w:numFmt w:val="lowerLetter"/>
      <w:lvlText w:val="%2."/>
      <w:lvlJc w:val="left"/>
      <w:pPr>
        <w:ind w:left="1440" w:hanging="360"/>
      </w:pPr>
    </w:lvl>
    <w:lvl w:ilvl="2" w:tplc="94583630" w:tentative="1">
      <w:start w:val="1"/>
      <w:numFmt w:val="lowerRoman"/>
      <w:lvlText w:val="%3."/>
      <w:lvlJc w:val="right"/>
      <w:pPr>
        <w:ind w:left="2160" w:hanging="180"/>
      </w:pPr>
    </w:lvl>
    <w:lvl w:ilvl="3" w:tplc="94583630" w:tentative="1">
      <w:start w:val="1"/>
      <w:numFmt w:val="decimal"/>
      <w:lvlText w:val="%4."/>
      <w:lvlJc w:val="left"/>
      <w:pPr>
        <w:ind w:left="2880" w:hanging="360"/>
      </w:pPr>
    </w:lvl>
    <w:lvl w:ilvl="4" w:tplc="94583630" w:tentative="1">
      <w:start w:val="1"/>
      <w:numFmt w:val="lowerLetter"/>
      <w:lvlText w:val="%5."/>
      <w:lvlJc w:val="left"/>
      <w:pPr>
        <w:ind w:left="3600" w:hanging="360"/>
      </w:pPr>
    </w:lvl>
    <w:lvl w:ilvl="5" w:tplc="94583630" w:tentative="1">
      <w:start w:val="1"/>
      <w:numFmt w:val="lowerRoman"/>
      <w:lvlText w:val="%6."/>
      <w:lvlJc w:val="right"/>
      <w:pPr>
        <w:ind w:left="4320" w:hanging="180"/>
      </w:pPr>
    </w:lvl>
    <w:lvl w:ilvl="6" w:tplc="94583630" w:tentative="1">
      <w:start w:val="1"/>
      <w:numFmt w:val="decimal"/>
      <w:lvlText w:val="%7."/>
      <w:lvlJc w:val="left"/>
      <w:pPr>
        <w:ind w:left="5040" w:hanging="360"/>
      </w:pPr>
    </w:lvl>
    <w:lvl w:ilvl="7" w:tplc="94583630" w:tentative="1">
      <w:start w:val="1"/>
      <w:numFmt w:val="lowerLetter"/>
      <w:lvlText w:val="%8."/>
      <w:lvlJc w:val="left"/>
      <w:pPr>
        <w:ind w:left="5760" w:hanging="360"/>
      </w:pPr>
    </w:lvl>
    <w:lvl w:ilvl="8" w:tplc="94583630" w:tentative="1">
      <w:start w:val="1"/>
      <w:numFmt w:val="lowerRoman"/>
      <w:lvlText w:val="%9."/>
      <w:lvlJc w:val="right"/>
      <w:pPr>
        <w:ind w:left="6480" w:hanging="180"/>
      </w:pPr>
    </w:lvl>
  </w:abstractNum>
  <w:abstractNum w:abstractNumId="41915083">
    <w:multiLevelType w:val="hybridMultilevel"/>
    <w:lvl w:ilvl="0" w:tplc="2872550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915083">
    <w:abstractNumId w:val="41915083"/>
  </w:num>
  <w:num w:numId="41915084">
    <w:abstractNumId w:val="4191508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7210611" Type="http://schemas.microsoft.com/office/2011/relationships/commentsExtended" Target="commentsExtended.xml"/><Relationship Id="rId82786a04dbe9ac561"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