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Tomato spotted wilt tospovirus (Tomato spotted wilt virus) TSWV00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Tomato spotted wilt tosopvirus (TSWV) is a single taxonomic entity (genus Tospovirus: family Bunyaviridae). In 2015 it was proposed to change the name of the virus from Tomato spotted wilt virus to Tomato spotted wilt tospovirus (ICTV, 2015; Van Regenmortel et al., 2015). It has been ratified in 2016 for all the family of the Bunyaviridae.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(2014); Bulgaria (2013); Croatia (1999); Cyprus (2011); Czech Republic (2011); France (2013); Germany (2011); Greece (2002); Greece/Kriti (1994); Hungary (2012); Ireland (1993); Italy (2013); Italy/Sicilia (1994); Italy/Sardegna (2006); Lithuania (1998); Malta (2011); Netherlands (2015); Portugal (2011); Portugal/Madeira (2001); Romania (2011); Slovenia (2011); Spain (2016); Spain/Islas Canárias (2011); Spain/Islas Baleares (2011); Sweden (1998); United Kingdom (2011); United Kingdom/England (1995); United Kingdom/Scotland (1995); United Kingdom/Channel Islands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9956a7029c1b39eb" w:history="1">
        <w:r>
          <w:rPr>
            <w:color w:val="0200C9"/>
            <w:sz w:val="24"/>
            <w:szCs w:val="24"/>
          </w:rPr>
          <w:t xml:space="preserve">https://gd.eppo.int/</w:t>
        </w:r>
      </w:hyperlink>
      <w:r>
        <w:rPr>
          <w:color w:val="0200C9"/>
          <w:sz w:val="24"/>
          <w:szCs w:val="24"/>
        </w:rPr>
        <w:t xml:space="preserve">). This pest is a candidate for the RNQP status according to the IIA2AWG</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Cucumis melo (CUMME)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TSWV has an extremely wide host range with more than 1 300 plants including agricultural crops, wild and weed species (Parrella et al., 2003; Peters, 2003), but the Council Directive 2000/29 is restricting measures to only 10 host plants. TSWV is a systemic pathogen and, as such, it is very efficiently transmitted by all vegetative multiplication techniques (EFSA-PLH, 2012). The virus is transmitted by thrips in a persistent propagative mode (Ullman et al., 1993; Wijkamp et al., 1993). Because of the persistence of TSWV in the vectors, the virus can be carried by infected plant material but also by viruliferous thrips, which can be present on a consignment that is infected with TSVW or even on consignments of non-host plants of the virus. The interception reports in EUROPHYT (very few) indicate that TSWV is found mostly in consignments of ornamentals and in 2011 and 2012 it has been reported four times on Lycopersicon esculentum. TSWV and viruliferous thrips are being transported in living planting material and will survive transport and storage as long as their hosts remain alive (EFSA-PLH, 2012). The plants for planting are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w:t>
      </w:r>
      <w:r>
        <w:rPr>
          <w:color w:val="000000"/>
          <w:sz w:val="24"/>
          <w:szCs w:val="24"/>
          <w:u w:val="single"/>
        </w:rPr>
        <w:br/>
        <w:t xml:space="preserve">Justification:</w:t>
      </w:r>
      <w:r>
        <w:rPr>
          <w:color w:val="000000"/>
          <w:sz w:val="24"/>
          <w:szCs w:val="24"/>
        </w:rPr>
        <w:t xml:space="preserve">
</w:t>
      </w:r>
      <w:r>
        <w:rPr>
          <w:color w:val="F30000"/>
          <w:sz w:val="24"/>
          <w:szCs w:val="24"/>
        </w:rPr>
        <w:t xml:space="preserve">TSWV causes yield and quality reductions and unappealing symptoms that render fruits unmarketable. While quantitative data on yield loss in crops and ornamentals are generally lacking, losses from TSWV diseases are considered very serious (Verhoeven and Roenhorst, 1994; Scholthof et al., 2011). TSWV is considered a very important pathogen of tomatoes. A similarly high impact on a range of other horticultural crops, such as pepper, potato, eggplant, lettuce and broad beans, is observed (EFSA, PLH, 2012). TSWV infection rates of squash were 16.66% in Turkey (Yardımcı &amp; Kılıç, 2009), so presumably would also affect ornamental varietes.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limited evidence of economic impact on the host plant. Moreover the absence of visual symptoms on the traded material (current general ‘substantially free from’ requirement) is considered to be sufficient to prevent any indirect unacceptable economic impacts.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Tomato spotted wilt virus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Parrella G, Gognalons P, Gebre-Selassie K, Vovlas C and Marchoux G (2003) An update of the host range of tomato spotted wilt virus. Journal of Plant Pathology 85, 227–264;</w:t>
      </w:r>
    </w:p>
    <w:p>
      <w:pPr>
        <w:numPr>
          <w:ilvl w:val="0"/>
          <w:numId w:val="1"/>
        </w:numPr>
        <w:spacing w:before="0" w:after="0" w:line="240" w:lineRule="auto"/>
        <w:jc w:val="left"/>
        <w:rPr>
          <w:color w:val="0200C9"/>
          <w:sz w:val="24"/>
          <w:szCs w:val="24"/>
        </w:rPr>
      </w:pPr>
      <w:r>
        <w:rPr>
          <w:color w:val="0200C9"/>
          <w:sz w:val="24"/>
          <w:szCs w:val="24"/>
        </w:rPr>
        <w:t xml:space="preserve">Yardımcı N &amp; Kılıç HÇ (2009) Tomato Spotted Wilt Virus in vegetable growing areas in the West Mediterranean Region of Turkey. African Journal of Biotechnology 8, 4539-4541;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6181913">
    <w:multiLevelType w:val="hybridMultilevel"/>
    <w:lvl w:ilvl="0" w:tplc="46332061">
      <w:start w:val="1"/>
      <w:numFmt w:val="decimal"/>
      <w:lvlText w:val="%1."/>
      <w:lvlJc w:val="left"/>
      <w:pPr>
        <w:ind w:left="720" w:hanging="360"/>
      </w:pPr>
    </w:lvl>
    <w:lvl w:ilvl="1" w:tplc="46332061" w:tentative="1">
      <w:start w:val="1"/>
      <w:numFmt w:val="lowerLetter"/>
      <w:lvlText w:val="%2."/>
      <w:lvlJc w:val="left"/>
      <w:pPr>
        <w:ind w:left="1440" w:hanging="360"/>
      </w:pPr>
    </w:lvl>
    <w:lvl w:ilvl="2" w:tplc="46332061" w:tentative="1">
      <w:start w:val="1"/>
      <w:numFmt w:val="lowerRoman"/>
      <w:lvlText w:val="%3."/>
      <w:lvlJc w:val="right"/>
      <w:pPr>
        <w:ind w:left="2160" w:hanging="180"/>
      </w:pPr>
    </w:lvl>
    <w:lvl w:ilvl="3" w:tplc="46332061" w:tentative="1">
      <w:start w:val="1"/>
      <w:numFmt w:val="decimal"/>
      <w:lvlText w:val="%4."/>
      <w:lvlJc w:val="left"/>
      <w:pPr>
        <w:ind w:left="2880" w:hanging="360"/>
      </w:pPr>
    </w:lvl>
    <w:lvl w:ilvl="4" w:tplc="46332061" w:tentative="1">
      <w:start w:val="1"/>
      <w:numFmt w:val="lowerLetter"/>
      <w:lvlText w:val="%5."/>
      <w:lvlJc w:val="left"/>
      <w:pPr>
        <w:ind w:left="3600" w:hanging="360"/>
      </w:pPr>
    </w:lvl>
    <w:lvl w:ilvl="5" w:tplc="46332061" w:tentative="1">
      <w:start w:val="1"/>
      <w:numFmt w:val="lowerRoman"/>
      <w:lvlText w:val="%6."/>
      <w:lvlJc w:val="right"/>
      <w:pPr>
        <w:ind w:left="4320" w:hanging="180"/>
      </w:pPr>
    </w:lvl>
    <w:lvl w:ilvl="6" w:tplc="46332061" w:tentative="1">
      <w:start w:val="1"/>
      <w:numFmt w:val="decimal"/>
      <w:lvlText w:val="%7."/>
      <w:lvlJc w:val="left"/>
      <w:pPr>
        <w:ind w:left="5040" w:hanging="360"/>
      </w:pPr>
    </w:lvl>
    <w:lvl w:ilvl="7" w:tplc="46332061" w:tentative="1">
      <w:start w:val="1"/>
      <w:numFmt w:val="lowerLetter"/>
      <w:lvlText w:val="%8."/>
      <w:lvlJc w:val="left"/>
      <w:pPr>
        <w:ind w:left="5760" w:hanging="360"/>
      </w:pPr>
    </w:lvl>
    <w:lvl w:ilvl="8" w:tplc="46332061" w:tentative="1">
      <w:start w:val="1"/>
      <w:numFmt w:val="lowerRoman"/>
      <w:lvlText w:val="%9."/>
      <w:lvlJc w:val="right"/>
      <w:pPr>
        <w:ind w:left="6480" w:hanging="180"/>
      </w:pPr>
    </w:lvl>
  </w:abstractNum>
  <w:abstractNum w:abstractNumId="56181912">
    <w:multiLevelType w:val="hybridMultilevel"/>
    <w:lvl w:ilvl="0" w:tplc="7862992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6181912">
    <w:abstractNumId w:val="56181912"/>
  </w:num>
  <w:num w:numId="56181913">
    <w:abstractNumId w:val="561819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81061551" Type="http://schemas.microsoft.com/office/2011/relationships/commentsExtended" Target="commentsExtended.xml"/><Relationship Id="rId89956a7029c1b39eb"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