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Tomato spotted wilt tospovirus (Tomato spotted wilt virus) (TSWV00)</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Viruses and viroids</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Tomato spotted wilt tosopvirus (TSWV) is a single taxonomic entity (genus Tospovirus: family Bunyaviridae). In 2015 it was proposed to change the name of the virus from Tomato spotted wilt virus to Tomato spotted wilt tospovirus (ICTV, 2015; Van Regenmortel et al., 2015). It has been ratified in 2016 for all the family of the Bunyaviridae.</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Belgium (2014); Bulgaria (2013); Croatia (1999); Cyprus (2011); Czech Republic (2011); France (2013); Germany (2011); Greece (2002); Greece/Kriti (1994); Hungary (2012); Ireland (1993); Italy (2013); Italy/Sicilia (1994); Italy/Sardegna (2006); Lithuania (1998); Malta (2011); Netherlands (2015); Portugal (2011); Portugal/Madeira (2001); Romania (2011); Slovenia (2011); Spain (2016); Spain/Islas Canárias (2011); Spain/Islas Baleares (2011); Sweden (1998); United Kingdom (2011); United Kingdom/England (1995); United Kingdom/Scotland (1995); United Kingdom/Channel Islands (1994)</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702666234f8110ae8" w:history="1">
        <w:r>
          <w:rPr>
            <w:color w:val="0200C9"/>
            <w:sz w:val="24"/>
            <w:szCs w:val="24"/>
          </w:rPr>
          <w:t xml:space="preserve">https://gd.eppo.int/</w:t>
        </w:r>
      </w:hyperlink>
      <w:r>
        <w:rPr>
          <w:color w:val="0200C9"/>
          <w:sz w:val="24"/>
          <w:szCs w:val="24"/>
        </w:rPr>
        <w:t xml:space="preserve">). This pest is a candidate for the RNQP status according to the IIA2AWG</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Capsicum annuum (CPSAN)</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TSWV has an extremely wide host range with more than 1 300 plants including agricultural crops, wild and weed species (Parrella et al., 2003; Peters, 2003), but the Council Directive 2000/29 is restricting measures to only 10 host plants. TSWV is a systemic pathogen and, as such, it is very efficiently transmitted by all vegetative multiplication techniques (EFSA-PLH, 2012). The virus is transmitted by thrips in a persistent propagative mode (Ullman et al., 1993; Wijkamp et al., 1993). Because of the persistence of TSWV in the vectors, the virus can be carried by infected plant material but also by viruliferous thrips, which can be present on a consignment that is infected with TSVW or even on consignments of non-host plants of the virus. The interception reports in EUROPHYT (very few) indicate that TSWV is found mostly in consignments of ornamentals and in 2011 and 2012 it has been reported four times on Lycopersicon esculentum. TSWV and viruliferous thrips are being transported in living planting material and will survive transport and storage as long as their hosts remain alive (EFSA-PLH, 2012). The plants for planting are a significant pathway compared to other pathways.</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Yes</w:t>
      </w:r>
      <w:r>
        <w:rPr>
          <w:color w:val="000000"/>
          <w:sz w:val="24"/>
          <w:szCs w:val="24"/>
          <w:u w:val="single"/>
        </w:rPr>
        <w:br/>
        <w:t xml:space="preserve">Justification:</w:t>
      </w:r>
      <w:r>
        <w:rPr>
          <w:color w:val="000000"/>
          <w:sz w:val="24"/>
          <w:szCs w:val="24"/>
        </w:rPr>
        <w:t xml:space="preserve">
</w:t>
      </w:r>
      <w:r>
        <w:rPr>
          <w:color w:val="0200C9"/>
          <w:sz w:val="24"/>
          <w:szCs w:val="24"/>
        </w:rPr>
        <w:t xml:space="preserve">TSWV infections in tomato occurring at an early stage in development result in severe stunting of plants, poor fruit setting and, when fruits eventually develop, fruits that are small and with yellow, brown or necrotic spots or rings (EFSA, PLH, 2012). TSWV causes yield and quality reductions and unappealing symptoms that render fruits unmarketable. While quantitative data on yield loss in crops and ornamentals are generally lacking, losses from TSWV diseases are considered very serious (Verhoeven and Roenhorst, 1994; Scholthof et al., 2011). TSWV is considered a very important pathogen of tomatoes, and severe losses have been encountered in crop production in Italy, Spain, Bulgaria and Greece. A similarly high impact on a range of other horticultural crops, such as pepper, potato, eggplant, lettuce and broad beans, is observed (EFSA, PLH, 2012). A great impact on tomato yield was reported by Moriones et al. (1998) in studies of natural TSWV infections in experimental plots in Northern Spain. Field experiments in Turkey, in which plots were naturally infected with TSWV, resulted in crop losses of up to 42 %, with an almost complete loss of marketable tomatoes (Sevik and Arli-Sokmen, 2012). Recently (2014 and 2015) TSWV infections affected tomato and pepper production (outdoor and indoor) in some Southern parts of Bulgaria.</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Major</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Recommended for listing as an RNQP - based on data.</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approach, based on visual examination and/or testing.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(A) The site of production has been subjected to a monitoring regime and appropriate treatments to ensure effective suppression of populations of relevant thrips vectors (Frankliniella occidentalis and Thrips tabaci);</w:t>
      </w:r>
      <w:r>
        <w:rPr>
          <w:color w:val="0200C9"/>
          <w:sz w:val="24"/>
          <w:szCs w:val="24"/>
        </w:rPr>
        <w:br/>
        <w:t xml:space="preserve">AND</w:t>
      </w:r>
      <w:r>
        <w:rPr>
          <w:color w:val="0200C9"/>
          <w:sz w:val="24"/>
          <w:szCs w:val="24"/>
        </w:rPr>
        <w:br/>
        <w:t xml:space="preserve">(B) (a) No symptoms of Tomato spotted wilt tospovirus have been observed on plants at the site of production during the current growing period;</w:t>
      </w:r>
      <w:r>
        <w:rPr>
          <w:color w:val="0200C9"/>
          <w:sz w:val="24"/>
          <w:szCs w:val="24"/>
        </w:rPr>
        <w:br/>
        <w:t xml:space="preserve">or</w:t>
      </w:r>
      <w:r>
        <w:rPr>
          <w:color w:val="0200C9"/>
          <w:sz w:val="24"/>
          <w:szCs w:val="24"/>
        </w:rPr>
        <w:br/>
        <w:t xml:space="preserve">(b) Any plants at the production site showing symptoms of Tomato spotted wilt tospovirus during the current growing period have been rogued out and a representative sample of the plants to be marketed has been tested and found free from the pest.</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EU COM (2016) Recommendation of the Working Group on the Annexes of the Council Directive 2000/29/EC – Section II – Listing of Harmful Organisms as regards the future listing of Tomato spotted wilt virus ;</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(2012) Scientific Opinion on the risk to plant health posed by Tomato spotted wilt virus to the EU territory with identification and evaluation of risk reduction options. EFSA Journal 2012;10(12):3029. [64 pp.] doi:10.2903/j.efsa.2012.3029. Available online: www.efsa.europa.eu/efsajournal;</w:t>
      </w:r>
    </w:p>
    <w:p>
      <w:pPr>
        <w:numPr>
          <w:ilvl w:val="0"/>
          <w:numId w:val="1"/>
        </w:numPr>
        <w:spacing w:before="0" w:after="0" w:line="240" w:lineRule="auto"/>
        <w:jc w:val="left"/>
        <w:rPr>
          <w:color w:val="0200C9"/>
          <w:sz w:val="24"/>
          <w:szCs w:val="24"/>
        </w:rPr>
      </w:pPr>
      <w:r>
        <w:rPr>
          <w:color w:val="0200C9"/>
          <w:sz w:val="24"/>
          <w:szCs w:val="24"/>
        </w:rPr>
        <w:t xml:space="preserve">Parrella G, Gognalons P, Gebre-Selassie K, Vovlas C and Marchoux G (2003) An update of the host range of tomato spotted wilt virus. Journal of Plant Pathology 85, 227–264;</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0152679">
    <w:multiLevelType w:val="hybridMultilevel"/>
    <w:lvl w:ilvl="0" w:tplc="83522964">
      <w:start w:val="1"/>
      <w:numFmt w:val="decimal"/>
      <w:lvlText w:val="%1."/>
      <w:lvlJc w:val="left"/>
      <w:pPr>
        <w:ind w:left="720" w:hanging="360"/>
      </w:pPr>
    </w:lvl>
    <w:lvl w:ilvl="1" w:tplc="83522964" w:tentative="1">
      <w:start w:val="1"/>
      <w:numFmt w:val="lowerLetter"/>
      <w:lvlText w:val="%2."/>
      <w:lvlJc w:val="left"/>
      <w:pPr>
        <w:ind w:left="1440" w:hanging="360"/>
      </w:pPr>
    </w:lvl>
    <w:lvl w:ilvl="2" w:tplc="83522964" w:tentative="1">
      <w:start w:val="1"/>
      <w:numFmt w:val="lowerRoman"/>
      <w:lvlText w:val="%3."/>
      <w:lvlJc w:val="right"/>
      <w:pPr>
        <w:ind w:left="2160" w:hanging="180"/>
      </w:pPr>
    </w:lvl>
    <w:lvl w:ilvl="3" w:tplc="83522964" w:tentative="1">
      <w:start w:val="1"/>
      <w:numFmt w:val="decimal"/>
      <w:lvlText w:val="%4."/>
      <w:lvlJc w:val="left"/>
      <w:pPr>
        <w:ind w:left="2880" w:hanging="360"/>
      </w:pPr>
    </w:lvl>
    <w:lvl w:ilvl="4" w:tplc="83522964" w:tentative="1">
      <w:start w:val="1"/>
      <w:numFmt w:val="lowerLetter"/>
      <w:lvlText w:val="%5."/>
      <w:lvlJc w:val="left"/>
      <w:pPr>
        <w:ind w:left="3600" w:hanging="360"/>
      </w:pPr>
    </w:lvl>
    <w:lvl w:ilvl="5" w:tplc="83522964" w:tentative="1">
      <w:start w:val="1"/>
      <w:numFmt w:val="lowerRoman"/>
      <w:lvlText w:val="%6."/>
      <w:lvlJc w:val="right"/>
      <w:pPr>
        <w:ind w:left="4320" w:hanging="180"/>
      </w:pPr>
    </w:lvl>
    <w:lvl w:ilvl="6" w:tplc="83522964" w:tentative="1">
      <w:start w:val="1"/>
      <w:numFmt w:val="decimal"/>
      <w:lvlText w:val="%7."/>
      <w:lvlJc w:val="left"/>
      <w:pPr>
        <w:ind w:left="5040" w:hanging="360"/>
      </w:pPr>
    </w:lvl>
    <w:lvl w:ilvl="7" w:tplc="83522964" w:tentative="1">
      <w:start w:val="1"/>
      <w:numFmt w:val="lowerLetter"/>
      <w:lvlText w:val="%8."/>
      <w:lvlJc w:val="left"/>
      <w:pPr>
        <w:ind w:left="5760" w:hanging="360"/>
      </w:pPr>
    </w:lvl>
    <w:lvl w:ilvl="8" w:tplc="83522964" w:tentative="1">
      <w:start w:val="1"/>
      <w:numFmt w:val="lowerRoman"/>
      <w:lvlText w:val="%9."/>
      <w:lvlJc w:val="right"/>
      <w:pPr>
        <w:ind w:left="6480" w:hanging="180"/>
      </w:pPr>
    </w:lvl>
  </w:abstractNum>
  <w:abstractNum w:abstractNumId="40152678">
    <w:multiLevelType w:val="hybridMultilevel"/>
    <w:lvl w:ilvl="0" w:tplc="1963834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0152678">
    <w:abstractNumId w:val="40152678"/>
  </w:num>
  <w:num w:numId="40152679">
    <w:abstractNumId w:val="4015267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123171793" Type="http://schemas.microsoft.com/office/2011/relationships/commentsExtended" Target="commentsExtended.xml"/><Relationship Id="rId702666234f8110ae8" Type="http://schemas.openxmlformats.org/officeDocument/2006/relationships/hyperlink" Target="https://gd.eppo.int/"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