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Candidatus Phytoplasma pyri (Pear decline mycoplasm) (PHYPPY)</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Pear decline mycoplasm</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(2012); Croatia (2010); Czech Republic (2007); France (2003); Germany (2011); Greece (2011); Hungary (2009); Italy (2012); Netherlands (2015); Poland (2002); Portugal (2013); Slovakia (1997); Slovenia (2014); Spain (2014); United Kingdom (2011); United Kingdom/England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122269df112391aef" w:history="1">
        <w:r>
          <w:rPr>
            <w:color w:val="0200C9"/>
            <w:sz w:val="24"/>
            <w:szCs w:val="24"/>
          </w:rPr>
          <w:t xml:space="preserve">https://gd.eppo.int/</w:t>
        </w:r>
      </w:hyperlink>
      <w:r>
        <w:rPr>
          <w:color w:val="0200C9"/>
          <w:sz w:val="24"/>
          <w:szCs w:val="24"/>
        </w:rPr>
        <w:t xml:space="preserve">). This pest is a candidate for the RNQP status according to the IIA2AWG</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Pyrus (1PYUG)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Decision by the HEWG to continue the evaluation of Candidatus phytoplasma in view of the problematic of vector transmission. As Candidatus phytoplasma pyri is very similar and listed in EPPO PM 4/27 Standard, the same decision is proposed for this pest.</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can be a very efficient pathway, when propagated from infested plants. Vector transmission is also a pathway but it is considered less efficient than plants for planting.</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No</w:t>
      </w:r>
      <w:r>
        <w:rPr>
          <w:color w:val="000000"/>
          <w:sz w:val="24"/>
          <w:szCs w:val="24"/>
          <w:u w:val="single"/>
        </w:rPr>
        <w:br/>
        <w:t xml:space="preserve">Justification:</w:t>
      </w:r>
      <w:r>
        <w:rPr>
          <w:color w:val="000000"/>
          <w:sz w:val="24"/>
          <w:szCs w:val="24"/>
        </w:rPr>
        <w:t xml:space="preserve">
</w:t>
      </w:r>
      <w:r>
        <w:rPr>
          <w:color w:val="0200C9"/>
          <w:sz w:val="24"/>
          <w:szCs w:val="24"/>
        </w:rPr>
        <w:t xml:space="preserve">No information on impacts on ornamental plants.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There is probably no economic impact for the ornamental use. However ornamental plants may be produced at the same place of production than plants for the fruit production. It may be necessary to take measures on ornamental plants, in view of the risk they pose to the fruit sector.</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data of possible indirect economic impacts for the fruit sector.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Derived from mother plants which have been inspected and found free from symptoms of 'Candidatus Phytoplasma pyri';</w:t>
      </w:r>
      <w:r>
        <w:rPr>
          <w:color w:val="0200C9"/>
          <w:sz w:val="24"/>
          <w:szCs w:val="24"/>
        </w:rPr>
        <w:br/>
        <w:t xml:space="preserve">AND</w:t>
      </w:r>
      <w:r>
        <w:rPr>
          <w:color w:val="0200C9"/>
          <w:sz w:val="24"/>
          <w:szCs w:val="24"/>
        </w:rPr>
        <w:br/>
        <w:t xml:space="preserve">(B) (a) Plants produced in areas known to be free from 'Candidatus Phytoplasma pyri';</w:t>
      </w:r>
      <w:r>
        <w:rPr>
          <w:color w:val="0200C9"/>
          <w:sz w:val="24"/>
          <w:szCs w:val="24"/>
        </w:rPr>
        <w:br/>
        <w:t xml:space="preserve">or</w:t>
      </w:r>
      <w:r>
        <w:rPr>
          <w:color w:val="0200C9"/>
          <w:sz w:val="24"/>
          <w:szCs w:val="24"/>
        </w:rPr>
        <w:br/>
        <w:t xml:space="preserve">(b) Site of production found free from the pest over the last complete growing season by visual inspection and any symptomatic plants in the immediate vicinity rogued out and destroyed immediately;</w:t>
      </w:r>
      <w:r>
        <w:rPr>
          <w:color w:val="0200C9"/>
          <w:sz w:val="24"/>
          <w:szCs w:val="24"/>
        </w:rPr>
        <w:br/>
        <w:t xml:space="preserve">or</w:t>
      </w:r>
      <w:r>
        <w:rPr>
          <w:color w:val="0200C9"/>
          <w:sz w:val="24"/>
          <w:szCs w:val="24"/>
        </w:rPr>
        <w:br/>
        <w:t xml:space="preserve">(c) No more than 2% of plants in the site of production showing symptoms during inspections at appropriate times during the last growing season, and those plants and any symptomatic plants in the immediate vicinity rogued out and destroyed immediately.</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recommended extrapolating measures from the fruit sector. Remark: ornamental Pyrus are usually not grafted.</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ANSES (2012) Rapport d'expertise collective. Groupe de travail "ARP phytoplasmes des arbres fruitiers". Available at </w:t>
      </w:r>
      <w:hyperlink r:id="rId859869df112391f6b" w:history="1">
        <w:r>
          <w:rPr>
            <w:color w:val="0200C9"/>
            <w:sz w:val="24"/>
            <w:szCs w:val="24"/>
          </w:rPr>
          <w:t xml:space="preserve">https://www.anses.fr/fr/system/files/SVEG2011sa0137Ra.pdf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Candidatus Phytoplasma pyri [Pear decline mycoplasma];</w:t>
      </w:r>
    </w:p>
    <w:p>
      <w:pPr>
        <w:numPr>
          <w:ilvl w:val="0"/>
          <w:numId w:val="1"/>
        </w:numPr>
        <w:spacing w:before="0" w:after="0" w:line="240" w:lineRule="auto"/>
        <w:jc w:val="left"/>
        <w:rPr>
          <w:color w:val="0200C9"/>
          <w:sz w:val="24"/>
          <w:szCs w:val="24"/>
        </w:rPr>
      </w:pPr>
      <w:r>
        <w:rPr>
          <w:color w:val="0200C9"/>
          <w:sz w:val="24"/>
          <w:szCs w:val="24"/>
        </w:rPr>
        <w:t xml:space="preserve">Prima phacie (2012) Pest risk assessment for the European Community plant health: A comparative approach with case studies. External scientific report by group of authors: </w:t>
      </w:r>
      <w:hyperlink r:id="rId627869df112391faf" w:history="1">
        <w:r>
          <w:rPr>
            <w:color w:val="0200C9"/>
            <w:sz w:val="24"/>
            <w:szCs w:val="24"/>
          </w:rPr>
          <w:t xml:space="preserve">http://www.efsa.europa.eu/fr/supporting/doc/319e.pdf</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8514944">
    <w:multiLevelType w:val="hybridMultilevel"/>
    <w:lvl w:ilvl="0" w:tplc="41627655">
      <w:start w:val="1"/>
      <w:numFmt w:val="decimal"/>
      <w:lvlText w:val="%1."/>
      <w:lvlJc w:val="left"/>
      <w:pPr>
        <w:ind w:left="720" w:hanging="360"/>
      </w:pPr>
    </w:lvl>
    <w:lvl w:ilvl="1" w:tplc="41627655" w:tentative="1">
      <w:start w:val="1"/>
      <w:numFmt w:val="lowerLetter"/>
      <w:lvlText w:val="%2."/>
      <w:lvlJc w:val="left"/>
      <w:pPr>
        <w:ind w:left="1440" w:hanging="360"/>
      </w:pPr>
    </w:lvl>
    <w:lvl w:ilvl="2" w:tplc="41627655" w:tentative="1">
      <w:start w:val="1"/>
      <w:numFmt w:val="lowerRoman"/>
      <w:lvlText w:val="%3."/>
      <w:lvlJc w:val="right"/>
      <w:pPr>
        <w:ind w:left="2160" w:hanging="180"/>
      </w:pPr>
    </w:lvl>
    <w:lvl w:ilvl="3" w:tplc="41627655" w:tentative="1">
      <w:start w:val="1"/>
      <w:numFmt w:val="decimal"/>
      <w:lvlText w:val="%4."/>
      <w:lvlJc w:val="left"/>
      <w:pPr>
        <w:ind w:left="2880" w:hanging="360"/>
      </w:pPr>
    </w:lvl>
    <w:lvl w:ilvl="4" w:tplc="41627655" w:tentative="1">
      <w:start w:val="1"/>
      <w:numFmt w:val="lowerLetter"/>
      <w:lvlText w:val="%5."/>
      <w:lvlJc w:val="left"/>
      <w:pPr>
        <w:ind w:left="3600" w:hanging="360"/>
      </w:pPr>
    </w:lvl>
    <w:lvl w:ilvl="5" w:tplc="41627655" w:tentative="1">
      <w:start w:val="1"/>
      <w:numFmt w:val="lowerRoman"/>
      <w:lvlText w:val="%6."/>
      <w:lvlJc w:val="right"/>
      <w:pPr>
        <w:ind w:left="4320" w:hanging="180"/>
      </w:pPr>
    </w:lvl>
    <w:lvl w:ilvl="6" w:tplc="41627655" w:tentative="1">
      <w:start w:val="1"/>
      <w:numFmt w:val="decimal"/>
      <w:lvlText w:val="%7."/>
      <w:lvlJc w:val="left"/>
      <w:pPr>
        <w:ind w:left="5040" w:hanging="360"/>
      </w:pPr>
    </w:lvl>
    <w:lvl w:ilvl="7" w:tplc="41627655" w:tentative="1">
      <w:start w:val="1"/>
      <w:numFmt w:val="lowerLetter"/>
      <w:lvlText w:val="%8."/>
      <w:lvlJc w:val="left"/>
      <w:pPr>
        <w:ind w:left="5760" w:hanging="360"/>
      </w:pPr>
    </w:lvl>
    <w:lvl w:ilvl="8" w:tplc="41627655" w:tentative="1">
      <w:start w:val="1"/>
      <w:numFmt w:val="lowerRoman"/>
      <w:lvlText w:val="%9."/>
      <w:lvlJc w:val="right"/>
      <w:pPr>
        <w:ind w:left="6480" w:hanging="180"/>
      </w:pPr>
    </w:lvl>
  </w:abstractNum>
  <w:abstractNum w:abstractNumId="68514943">
    <w:multiLevelType w:val="hybridMultilevel"/>
    <w:lvl w:ilvl="0" w:tplc="1684069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8514943">
    <w:abstractNumId w:val="68514943"/>
  </w:num>
  <w:num w:numId="68514944">
    <w:abstractNumId w:val="6851494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73419209" Type="http://schemas.microsoft.com/office/2011/relationships/commentsExtended" Target="commentsExtended.xml"/><Relationship Id="rId122269df112391aef" Type="http://schemas.openxmlformats.org/officeDocument/2006/relationships/hyperlink" Target="https://gd.eppo.int/" TargetMode="External"/><Relationship Id="rId859869df112391f6b" Type="http://schemas.openxmlformats.org/officeDocument/2006/relationships/hyperlink" Target="https://www.anses.fr/fr/system/files/SVEG2011sa0137Ra.pdf" TargetMode="External"/><Relationship Id="rId627869df112391faf" Type="http://schemas.openxmlformats.org/officeDocument/2006/relationships/hyperlink" Target="http://www.efsa.europa.eu/fr/supporting/doc/319e.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