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Candidatus Phytoplasma pyri (Pear decline mycoplasm) (PHYPPY)</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Pear decline mycoplasm</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(1993); Belgium (2012); Croatia (2010); Czech Republic (2007); France (2003); Germany (2011); Greece (2011); Hungary (2009); Italy (2012); Netherlands (2015); Poland (2002); Portugal (2013); Slovakia (1997); Slovenia (2014); Spain (2014); United Kingdom (2011); United Kingdom/England (2011)</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2226662994608a1f6" w:history="1">
        <w:r>
          <w:rPr>
            <w:color w:val="0200C9"/>
            <w:sz w:val="24"/>
            <w:szCs w:val="24"/>
          </w:rPr>
          <w:t xml:space="preserve">https://gd.eppo.int/</w:t>
        </w:r>
      </w:hyperlink>
      <w:r>
        <w:rPr>
          <w:color w:val="0200C9"/>
          <w:sz w:val="24"/>
          <w:szCs w:val="24"/>
        </w:rPr>
        <w:t xml:space="preserve">). This pest is a candidate for the RNQP status according to the IIA2AWG</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Cydonia (1CYDG)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Decision by the HEWG to continue the evaluation of Candidatus phytoplasma in view of the problematic of vector transmission. As Candidatus phytoplasma pyri is very similar and listed in EPPO PM 4/27 Standard, the same decision is proposed for this pest.</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Cydonia oblonga (quince) is a minor host as it is only poorly colonized by the phytoplasma. However plants for planting can be a efficient pathway, when propagated from infested plants. Vector transmission is also a pathway but it is considered less efficient than plants for planting.</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No</w:t>
      </w:r>
      <w:r>
        <w:rPr>
          <w:color w:val="000000"/>
          <w:sz w:val="24"/>
          <w:szCs w:val="24"/>
          <w:u w:val="single"/>
        </w:rPr>
        <w:br/>
        <w:t xml:space="preserve">Justification:</w:t>
      </w:r>
      <w:r>
        <w:rPr>
          <w:color w:val="000000"/>
          <w:sz w:val="24"/>
          <w:szCs w:val="24"/>
        </w:rPr>
        <w:t xml:space="preserve">
</w:t>
      </w:r>
      <w:r>
        <w:rPr>
          <w:color w:val="F30000"/>
          <w:sz w:val="24"/>
          <w:szCs w:val="24"/>
        </w:rPr>
        <w:t xml:space="preserve">Seemüller et al (2011) reported that in Italy, trees on quince (Cydonia oblonga) rootstocks were severely affected when psyllid infestation was high. However quince is described as having poor host properties (Prima Phacie, 2012).</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There is usually no economic impact for the ornamental use. In coherence with the fruit sector, indirect impact for quince and for pear is considered acceptable.</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direct impact on ornamentals is considered minor and indirect impact for quince and for pear on quince rootstocks is considered acceptable.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ANSES (2012) Rapport d'expertise collective. Groupe de travail "ARP phytoplasmes des arbres fruitiers". Available at </w:t>
      </w:r>
      <w:hyperlink r:id="rId1738662994608a5f1" w:history="1">
        <w:r>
          <w:rPr>
            <w:color w:val="0200C9"/>
            <w:sz w:val="24"/>
            <w:szCs w:val="24"/>
          </w:rPr>
          <w:t xml:space="preserve">https://www.anses.fr/fr/system/files/SVEG2011sa0137Ra.pdf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Candidatus Phytoplasma pyri [Pear decline mycoplasma];</w:t>
      </w:r>
    </w:p>
    <w:p>
      <w:pPr>
        <w:numPr>
          <w:ilvl w:val="0"/>
          <w:numId w:val="1"/>
        </w:numPr>
        <w:spacing w:before="0" w:after="0" w:line="240" w:lineRule="auto"/>
        <w:jc w:val="left"/>
        <w:rPr>
          <w:color w:val="0200C9"/>
          <w:sz w:val="24"/>
          <w:szCs w:val="24"/>
        </w:rPr>
      </w:pPr>
      <w:r>
        <w:rPr>
          <w:color w:val="0200C9"/>
          <w:sz w:val="24"/>
          <w:szCs w:val="24"/>
        </w:rPr>
        <w:t xml:space="preserve">Prima phacie (2012) Pest risk assessment for the European Community plant health: A comparative approach with case studies. External scientific report by group of authors: </w:t>
      </w:r>
      <w:hyperlink r:id="rId7576662994608a644" w:history="1">
        <w:r>
          <w:rPr>
            <w:color w:val="0200C9"/>
            <w:sz w:val="24"/>
            <w:szCs w:val="24"/>
          </w:rPr>
          <w:t xml:space="preserve">http://www.efsa.europa.eu/fr/supporting/doc/319e.pdf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Seemüller E, Schneider B &amp; Jarausch B (2011) Pear Decline Phytoplasma. In: Virus and virus-like diseases of pome and stone fruits. St. Paul, Minnesota, APS Press/American Phytopathological Society;</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6093373">
    <w:multiLevelType w:val="hybridMultilevel"/>
    <w:lvl w:ilvl="0" w:tplc="54138392">
      <w:start w:val="1"/>
      <w:numFmt w:val="decimal"/>
      <w:lvlText w:val="%1."/>
      <w:lvlJc w:val="left"/>
      <w:pPr>
        <w:ind w:left="720" w:hanging="360"/>
      </w:pPr>
    </w:lvl>
    <w:lvl w:ilvl="1" w:tplc="54138392" w:tentative="1">
      <w:start w:val="1"/>
      <w:numFmt w:val="lowerLetter"/>
      <w:lvlText w:val="%2."/>
      <w:lvlJc w:val="left"/>
      <w:pPr>
        <w:ind w:left="1440" w:hanging="360"/>
      </w:pPr>
    </w:lvl>
    <w:lvl w:ilvl="2" w:tplc="54138392" w:tentative="1">
      <w:start w:val="1"/>
      <w:numFmt w:val="lowerRoman"/>
      <w:lvlText w:val="%3."/>
      <w:lvlJc w:val="right"/>
      <w:pPr>
        <w:ind w:left="2160" w:hanging="180"/>
      </w:pPr>
    </w:lvl>
    <w:lvl w:ilvl="3" w:tplc="54138392" w:tentative="1">
      <w:start w:val="1"/>
      <w:numFmt w:val="decimal"/>
      <w:lvlText w:val="%4."/>
      <w:lvlJc w:val="left"/>
      <w:pPr>
        <w:ind w:left="2880" w:hanging="360"/>
      </w:pPr>
    </w:lvl>
    <w:lvl w:ilvl="4" w:tplc="54138392" w:tentative="1">
      <w:start w:val="1"/>
      <w:numFmt w:val="lowerLetter"/>
      <w:lvlText w:val="%5."/>
      <w:lvlJc w:val="left"/>
      <w:pPr>
        <w:ind w:left="3600" w:hanging="360"/>
      </w:pPr>
    </w:lvl>
    <w:lvl w:ilvl="5" w:tplc="54138392" w:tentative="1">
      <w:start w:val="1"/>
      <w:numFmt w:val="lowerRoman"/>
      <w:lvlText w:val="%6."/>
      <w:lvlJc w:val="right"/>
      <w:pPr>
        <w:ind w:left="4320" w:hanging="180"/>
      </w:pPr>
    </w:lvl>
    <w:lvl w:ilvl="6" w:tplc="54138392" w:tentative="1">
      <w:start w:val="1"/>
      <w:numFmt w:val="decimal"/>
      <w:lvlText w:val="%7."/>
      <w:lvlJc w:val="left"/>
      <w:pPr>
        <w:ind w:left="5040" w:hanging="360"/>
      </w:pPr>
    </w:lvl>
    <w:lvl w:ilvl="7" w:tplc="54138392" w:tentative="1">
      <w:start w:val="1"/>
      <w:numFmt w:val="lowerLetter"/>
      <w:lvlText w:val="%8."/>
      <w:lvlJc w:val="left"/>
      <w:pPr>
        <w:ind w:left="5760" w:hanging="360"/>
      </w:pPr>
    </w:lvl>
    <w:lvl w:ilvl="8" w:tplc="54138392" w:tentative="1">
      <w:start w:val="1"/>
      <w:numFmt w:val="lowerRoman"/>
      <w:lvlText w:val="%9."/>
      <w:lvlJc w:val="right"/>
      <w:pPr>
        <w:ind w:left="6480" w:hanging="180"/>
      </w:pPr>
    </w:lvl>
  </w:abstractNum>
  <w:abstractNum w:abstractNumId="36093372">
    <w:multiLevelType w:val="hybridMultilevel"/>
    <w:lvl w:ilvl="0" w:tplc="844681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6093372">
    <w:abstractNumId w:val="36093372"/>
  </w:num>
  <w:num w:numId="36093373">
    <w:abstractNumId w:val="3609337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49557396" Type="http://schemas.microsoft.com/office/2011/relationships/commentsExtended" Target="commentsExtended.xml"/><Relationship Id="rId2226662994608a1f6" Type="http://schemas.openxmlformats.org/officeDocument/2006/relationships/hyperlink" Target="https://gd.eppo.int/" TargetMode="External"/><Relationship Id="rId1738662994608a5f1" Type="http://schemas.openxmlformats.org/officeDocument/2006/relationships/hyperlink" Target="https://www.anses.fr/fr/system/files/SVEG2011sa0137Ra.pdf" TargetMode="External"/><Relationship Id="rId7576662994608a644" Type="http://schemas.openxmlformats.org/officeDocument/2006/relationships/hyperlink" Target="http://www.efsa.europa.eu/fr/supporting/doc/319e.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