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pyri (Pear decline mycoplasm) PHYPPY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decline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(2012); Croatia (2010); Czech Republic (2007); France (2003); Germany (2011); Greece (2011); Hungary (2009); Italy (2012); Netherlands (2015); Poland (2002); Portugal (2013); Slovakia (1997); Slovenia (2014); Spain (2014);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4726a66da70cd867"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(1CYDG)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Cydonia oblonga (quince) is a minor host as it is only poorly colonized by the phytoplasma. Pear trees grafted on quince rootstocks are little affected by Pear decline, as the phytoplasma occurs in a very low titre in the rootstock (PrimaPhacie, 2012). Vector transmission is a pathway. Isolation distances and treatments are available to reduce the severity of the vector in the site of production, however this wouldn't prevent completely the entry of infected vectors in the production site. As the vector normally only flies/moves over shorter distances, keeping the surrounding areas free from PD is also an important measure of control.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Quince is described as having poor host properties. Pear trees on quince (Cydonia oblonga) rootstocks are only slightly affected by the disease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impact/damage is very different depending of the varieties and the age of orchards (Older trees tend to have less damage). Infections can disappear after a year, depending on winter conditions. Impact for quince and for pear on quince rootstocks is minor and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Combination of roguing infected plants, keeping area clean, controlling of psyllids and using less susceptible rootstocks can keep the problems with PD on an acceptable level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for quince and for pear on quince rootstocks is minor and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42386a66da70cdd10"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79946a66da70cdd54"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446906">
    <w:multiLevelType w:val="hybridMultilevel"/>
    <w:lvl w:ilvl="0" w:tplc="68676163">
      <w:start w:val="1"/>
      <w:numFmt w:val="decimal"/>
      <w:lvlText w:val="%1."/>
      <w:lvlJc w:val="left"/>
      <w:pPr>
        <w:ind w:left="720" w:hanging="360"/>
      </w:pPr>
    </w:lvl>
    <w:lvl w:ilvl="1" w:tplc="68676163" w:tentative="1">
      <w:start w:val="1"/>
      <w:numFmt w:val="lowerLetter"/>
      <w:lvlText w:val="%2."/>
      <w:lvlJc w:val="left"/>
      <w:pPr>
        <w:ind w:left="1440" w:hanging="360"/>
      </w:pPr>
    </w:lvl>
    <w:lvl w:ilvl="2" w:tplc="68676163" w:tentative="1">
      <w:start w:val="1"/>
      <w:numFmt w:val="lowerRoman"/>
      <w:lvlText w:val="%3."/>
      <w:lvlJc w:val="right"/>
      <w:pPr>
        <w:ind w:left="2160" w:hanging="180"/>
      </w:pPr>
    </w:lvl>
    <w:lvl w:ilvl="3" w:tplc="68676163" w:tentative="1">
      <w:start w:val="1"/>
      <w:numFmt w:val="decimal"/>
      <w:lvlText w:val="%4."/>
      <w:lvlJc w:val="left"/>
      <w:pPr>
        <w:ind w:left="2880" w:hanging="360"/>
      </w:pPr>
    </w:lvl>
    <w:lvl w:ilvl="4" w:tplc="68676163" w:tentative="1">
      <w:start w:val="1"/>
      <w:numFmt w:val="lowerLetter"/>
      <w:lvlText w:val="%5."/>
      <w:lvlJc w:val="left"/>
      <w:pPr>
        <w:ind w:left="3600" w:hanging="360"/>
      </w:pPr>
    </w:lvl>
    <w:lvl w:ilvl="5" w:tplc="68676163" w:tentative="1">
      <w:start w:val="1"/>
      <w:numFmt w:val="lowerRoman"/>
      <w:lvlText w:val="%6."/>
      <w:lvlJc w:val="right"/>
      <w:pPr>
        <w:ind w:left="4320" w:hanging="180"/>
      </w:pPr>
    </w:lvl>
    <w:lvl w:ilvl="6" w:tplc="68676163" w:tentative="1">
      <w:start w:val="1"/>
      <w:numFmt w:val="decimal"/>
      <w:lvlText w:val="%7."/>
      <w:lvlJc w:val="left"/>
      <w:pPr>
        <w:ind w:left="5040" w:hanging="360"/>
      </w:pPr>
    </w:lvl>
    <w:lvl w:ilvl="7" w:tplc="68676163" w:tentative="1">
      <w:start w:val="1"/>
      <w:numFmt w:val="lowerLetter"/>
      <w:lvlText w:val="%8."/>
      <w:lvlJc w:val="left"/>
      <w:pPr>
        <w:ind w:left="5760" w:hanging="360"/>
      </w:pPr>
    </w:lvl>
    <w:lvl w:ilvl="8" w:tplc="68676163" w:tentative="1">
      <w:start w:val="1"/>
      <w:numFmt w:val="lowerRoman"/>
      <w:lvlText w:val="%9."/>
      <w:lvlJc w:val="right"/>
      <w:pPr>
        <w:ind w:left="6480" w:hanging="180"/>
      </w:pPr>
    </w:lvl>
  </w:abstractNum>
  <w:abstractNum w:abstractNumId="16446905">
    <w:multiLevelType w:val="hybridMultilevel"/>
    <w:lvl w:ilvl="0" w:tplc="456705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446905">
    <w:abstractNumId w:val="16446905"/>
  </w:num>
  <w:num w:numId="16446906">
    <w:abstractNumId w:val="164469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6509956" Type="http://schemas.microsoft.com/office/2011/relationships/commentsExtended" Target="commentsExtended.xml"/><Relationship Id="rId84726a66da70cd867" Type="http://schemas.openxmlformats.org/officeDocument/2006/relationships/hyperlink" Target="https://gd.eppo.int/" TargetMode="External"/><Relationship Id="rId42386a66da70cdd10" Type="http://schemas.openxmlformats.org/officeDocument/2006/relationships/hyperlink" Target="https://www.anses.fr/fr/system/files/SVEG2011sa0137Ra.pdf" TargetMode="External"/><Relationship Id="rId79946a66da70cdd54"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