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pyri (Pear decline mycoplasm) (PHYPPY)</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Pear decline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(2012); Croatia (2010); Czech Republic (2007); France (2003); Germany (2011); Greece (2011); Hungary (2009); Italy (2012); Netherlands (2015); Poland (2002); Portugal (2013); Slovakia (1997); Slovenia (2014); Spain (2014);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339662be745044e7"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Cydonia (1CYDG)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Cydonia oblonga (quince) is a minor host as it is only poorly colonized by the phytoplasma. Pear trees grafted on quince rootstocks are little affected by Pear decline, as the phytoplasma occurs in a very low titre in the rootstock (PrimaPhacie, 2012). Vector transmission is a pathway. Isolation distances and treatments are available to reduce the severity of the vector in the site of production, however this wouldn't prevent completely the entry of infected vectors in the production site. As the vector normally only flies/moves over shorter distances, keeping the surrounding areas free from PD is also an important measure of control. Experts concluded that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Quince is described as having poor host properties. Pear trees on quince (Cydonia oblonga) rootstocks are only slightly affected by the disease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Economic impact/damage is very different depending of the varieties and the age of orchards (Older trees tend to have less damage). Infections can disappear after a year, depending on winter conditions. Impact for quince and for pear on quince rootstocks is minor and considered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for quince and for pear on quince rootstocks is minor and considered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2668662be745048c8"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2084662be7450491c"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578947">
    <w:multiLevelType w:val="hybridMultilevel"/>
    <w:lvl w:ilvl="0" w:tplc="64582836">
      <w:start w:val="1"/>
      <w:numFmt w:val="decimal"/>
      <w:lvlText w:val="%1."/>
      <w:lvlJc w:val="left"/>
      <w:pPr>
        <w:ind w:left="720" w:hanging="360"/>
      </w:pPr>
    </w:lvl>
    <w:lvl w:ilvl="1" w:tplc="64582836" w:tentative="1">
      <w:start w:val="1"/>
      <w:numFmt w:val="lowerLetter"/>
      <w:lvlText w:val="%2."/>
      <w:lvlJc w:val="left"/>
      <w:pPr>
        <w:ind w:left="1440" w:hanging="360"/>
      </w:pPr>
    </w:lvl>
    <w:lvl w:ilvl="2" w:tplc="64582836" w:tentative="1">
      <w:start w:val="1"/>
      <w:numFmt w:val="lowerRoman"/>
      <w:lvlText w:val="%3."/>
      <w:lvlJc w:val="right"/>
      <w:pPr>
        <w:ind w:left="2160" w:hanging="180"/>
      </w:pPr>
    </w:lvl>
    <w:lvl w:ilvl="3" w:tplc="64582836" w:tentative="1">
      <w:start w:val="1"/>
      <w:numFmt w:val="decimal"/>
      <w:lvlText w:val="%4."/>
      <w:lvlJc w:val="left"/>
      <w:pPr>
        <w:ind w:left="2880" w:hanging="360"/>
      </w:pPr>
    </w:lvl>
    <w:lvl w:ilvl="4" w:tplc="64582836" w:tentative="1">
      <w:start w:val="1"/>
      <w:numFmt w:val="lowerLetter"/>
      <w:lvlText w:val="%5."/>
      <w:lvlJc w:val="left"/>
      <w:pPr>
        <w:ind w:left="3600" w:hanging="360"/>
      </w:pPr>
    </w:lvl>
    <w:lvl w:ilvl="5" w:tplc="64582836" w:tentative="1">
      <w:start w:val="1"/>
      <w:numFmt w:val="lowerRoman"/>
      <w:lvlText w:val="%6."/>
      <w:lvlJc w:val="right"/>
      <w:pPr>
        <w:ind w:left="4320" w:hanging="180"/>
      </w:pPr>
    </w:lvl>
    <w:lvl w:ilvl="6" w:tplc="64582836" w:tentative="1">
      <w:start w:val="1"/>
      <w:numFmt w:val="decimal"/>
      <w:lvlText w:val="%7."/>
      <w:lvlJc w:val="left"/>
      <w:pPr>
        <w:ind w:left="5040" w:hanging="360"/>
      </w:pPr>
    </w:lvl>
    <w:lvl w:ilvl="7" w:tplc="64582836" w:tentative="1">
      <w:start w:val="1"/>
      <w:numFmt w:val="lowerLetter"/>
      <w:lvlText w:val="%8."/>
      <w:lvlJc w:val="left"/>
      <w:pPr>
        <w:ind w:left="5760" w:hanging="360"/>
      </w:pPr>
    </w:lvl>
    <w:lvl w:ilvl="8" w:tplc="64582836" w:tentative="1">
      <w:start w:val="1"/>
      <w:numFmt w:val="lowerRoman"/>
      <w:lvlText w:val="%9."/>
      <w:lvlJc w:val="right"/>
      <w:pPr>
        <w:ind w:left="6480" w:hanging="180"/>
      </w:pPr>
    </w:lvl>
  </w:abstractNum>
  <w:abstractNum w:abstractNumId="82578946">
    <w:multiLevelType w:val="hybridMultilevel"/>
    <w:lvl w:ilvl="0" w:tplc="311186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578946">
    <w:abstractNumId w:val="82578946"/>
  </w:num>
  <w:num w:numId="82578947">
    <w:abstractNumId w:val="825789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6559655" Type="http://schemas.microsoft.com/office/2011/relationships/commentsExtended" Target="commentsExtended.xml"/><Relationship Id="rId1339662be745044e7" Type="http://schemas.openxmlformats.org/officeDocument/2006/relationships/hyperlink" Target="https://gd.eppo.int/" TargetMode="External"/><Relationship Id="rId2668662be745048c8" Type="http://schemas.openxmlformats.org/officeDocument/2006/relationships/hyperlink" Target="https://www.anses.fr/fr/system/files/SVEG2011sa0137Ra.pdf" TargetMode="External"/><Relationship Id="rId2084662be7450491c"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