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Candidatus Phytoplasma mali (Apple proliferation mycoplasm) (PHYPMA)</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200C9"/>
          <w:sz w:val="24"/>
          <w:szCs w:val="24"/>
        </w:rPr>
        <w:t xml:space="preserve">Apple proliferation mycoplasm</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Main host plant is the Apple tree (Malus x domestica). All cultivars and rootstocks are potential host plants, including ornamentals and wild plants belonging to the genus Malus (ANSES, 2012). This justifies a listing of host plants at the genus level.</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(2011); Belgium (2013); Bulgaria (1993); Croatia (1996); Czech Republic (2013); Finland (2013); France (2011); Germany (2011); Greece (2011); Hungary (2010); Italy (2013); Netherlands (2015); Poland (2015); Romania (1992); Slovakia (1978); Slovenia (2011); Spain (2011)</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1720662b9ca1618ac" w:history="1">
        <w:r>
          <w:rPr>
            <w:color w:val="0200C9"/>
            <w:sz w:val="24"/>
            <w:szCs w:val="24"/>
          </w:rPr>
          <w:t xml:space="preserve">https://gd.eppo.int/</w:t>
        </w:r>
      </w:hyperlink>
      <w:r>
        <w:rPr>
          <w:color w:val="0200C9"/>
          <w:sz w:val="24"/>
          <w:szCs w:val="24"/>
        </w:rPr>
        <w:t xml:space="preserve">). This pest is a candidate for the RNQP status according to the IIA2AWG</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Malus (1MABG)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color w:val="000000"/>
          <w:sz w:val="24"/>
          <w:szCs w:val="24"/>
        </w:rPr>
        <w:br/>
        <w:t xml:space="preserve"> 
</w:t>
      </w:r>
      <w:r>
        <w:rPr>
          <w:color w:val="000000"/>
          <w:sz w:val="24"/>
          <w:szCs w:val="24"/>
          <w:u w:val="single"/>
        </w:rPr>
        <w:t xml:space="preserve">Justification (if necessary):</w:t>
      </w:r>
      <w:r>
        <w:rPr>
          <w:color w:val="000000"/>
          <w:sz w:val="24"/>
          <w:szCs w:val="24"/>
        </w:rPr>
        <w:t xml:space="preserve">
</w:t>
      </w:r>
      <w:r>
        <w:rPr>
          <w:color w:val="0200C9"/>
          <w:sz w:val="24"/>
          <w:szCs w:val="24"/>
        </w:rPr>
        <w:t xml:space="preserve">Decision by the HEWG to continue the evaluation in view of the problematic of vector transmission.</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Plants for planting can be a very efficient pathway, when propagated from infested plants. Vector transmission is also a pathway but it is considered less efficient than plants for planting.</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No</w:t>
      </w:r>
      <w:r>
        <w:rPr>
          <w:color w:val="000000"/>
          <w:sz w:val="24"/>
          <w:szCs w:val="24"/>
          <w:u w:val="single"/>
        </w:rPr>
        <w:br/>
        <w:t xml:space="preserve">Justification:</w:t>
      </w:r>
      <w:r>
        <w:rPr>
          <w:color w:val="000000"/>
          <w:sz w:val="24"/>
          <w:szCs w:val="24"/>
        </w:rPr>
        <w:t xml:space="preserve">
</w:t>
      </w:r>
      <w:r>
        <w:rPr>
          <w:color w:val="0200C9"/>
          <w:sz w:val="24"/>
          <w:szCs w:val="24"/>
        </w:rPr>
        <w:t xml:space="preserve">No information on impacts on ornamental Malus. Remark: There are reports of other ornamental plants being infected by this pathogen, e.g. Magnolia liliiflora (Kaminska &amp; Sliwa, 2003), rose (Kaminska &amp; Sliwa, 2004), dahlia, lilies (Kaminska &amp; Sliwa, 2008a,b). There are no data on economic impact on these plants.</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Minimal</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Yes</w:t>
      </w:r>
      <w:r>
        <w:rPr>
          <w:color w:val="000000"/>
          <w:sz w:val="24"/>
          <w:szCs w:val="24"/>
          <w:u w:val="single"/>
        </w:rPr>
        <w:br/>
        <w:t xml:space="preserve">Is there unacceptable economic impact caused to other hosts (or the same host with a different intended use) produced at the same place of production due to the transfer of the pest from the named host plant for planting?</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There is probably no economic impact for the ornamental use. However ornamental plants may be produced at the same place of production than plants for the fruit production. It may be necessary to take measures on ornamental plants, in view of the risk they pose to the fruit sector (Celetti, 2013).</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 based on data of possible indirect economic impacts for the fruit sector.</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approach, based on visual examination and/or testing.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(A) Derived from mother plants which have been inspected and found free from symptoms of 'Candidatus Phytoplasma mali';</w:t>
      </w:r>
      <w:r>
        <w:rPr>
          <w:color w:val="0200C9"/>
          <w:sz w:val="24"/>
          <w:szCs w:val="24"/>
        </w:rPr>
        <w:br/>
        <w:t xml:space="preserve">AND</w:t>
      </w:r>
      <w:r>
        <w:rPr>
          <w:color w:val="0200C9"/>
          <w:sz w:val="24"/>
          <w:szCs w:val="24"/>
        </w:rPr>
        <w:br/>
        <w:t xml:space="preserve">(B) (a) Plants produced in areas known to be free from 'Candidatus Phytoplasma mali';</w:t>
      </w:r>
      <w:r>
        <w:rPr>
          <w:color w:val="0200C9"/>
          <w:sz w:val="24"/>
          <w:szCs w:val="24"/>
        </w:rPr>
        <w:br/>
        <w:t xml:space="preserve">or</w:t>
      </w:r>
      <w:r>
        <w:rPr>
          <w:color w:val="0200C9"/>
          <w:sz w:val="24"/>
          <w:szCs w:val="24"/>
        </w:rPr>
        <w:br/>
        <w:t xml:space="preserve">(b) Site of production found free from 'Candidatus Phytoplasma mali' over the last complete growing season by visual inspection and any symptomatic plants in the immediate vicinity rogued out and destroyed immediately;</w:t>
      </w:r>
      <w:r>
        <w:rPr>
          <w:color w:val="0200C9"/>
          <w:sz w:val="24"/>
          <w:szCs w:val="24"/>
        </w:rPr>
        <w:br/>
        <w:t xml:space="preserve">or</w:t>
      </w:r>
      <w:r>
        <w:rPr>
          <w:color w:val="0200C9"/>
          <w:sz w:val="24"/>
          <w:szCs w:val="24"/>
        </w:rPr>
        <w:br/>
        <w:t xml:space="preserve">(c) No more than 2% of plants in the site of production showing symptoms during inspections at appropriate times during the last growing season, and those plants and any symptomatic plants in the immediate vicinity rogued out and destroyed immediately, and a representative sample of the remaining asymptomatic plants in the lots in which symptomatic plants were found has been tested and found free from 'Candidatus Phytoplasma mali'.</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Experts recommended extrapolating measures from the fruit sector.</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ANSES (2012) Rapport d'expertise collective. Groupe de travail "ARP phytoplasmes des arbres fruitiers". Available at </w:t>
      </w:r>
      <w:hyperlink r:id="rId8464662b9ca161da7" w:history="1">
        <w:r>
          <w:rPr>
            <w:color w:val="0200C9"/>
            <w:sz w:val="24"/>
            <w:szCs w:val="24"/>
          </w:rPr>
          <w:t xml:space="preserve">https://www.anses.fr/fr/system/files/SVEG2011sa0137Ra.pdf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Celetti M (2013) Apple Proliferation Disease. Orchard Network. Ontario Ministry of Agriculture, Food and Rural Affairs. Available from: </w:t>
      </w:r>
      <w:hyperlink r:id="rId5707662b9ca161ddb" w:history="1">
        <w:r>
          <w:rPr>
            <w:color w:val="0200C9"/>
            <w:sz w:val="24"/>
            <w:szCs w:val="24"/>
          </w:rPr>
          <w:t xml:space="preserve">http://www.omafra.gov.on.ca/english/crops/hort/news/orchnews/2013/on-0413a9.htm</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Candidatus Phytoplasma mali [Apple Proliferation Mycoplasm];</w:t>
      </w:r>
    </w:p>
    <w:p>
      <w:pPr>
        <w:numPr>
          <w:ilvl w:val="0"/>
          <w:numId w:val="1"/>
        </w:numPr>
        <w:spacing w:before="0" w:after="0" w:line="240" w:lineRule="auto"/>
        <w:jc w:val="left"/>
        <w:rPr>
          <w:color w:val="0200C9"/>
          <w:sz w:val="24"/>
          <w:szCs w:val="24"/>
        </w:rPr>
      </w:pPr>
      <w:r>
        <w:rPr>
          <w:color w:val="0200C9"/>
          <w:sz w:val="24"/>
          <w:szCs w:val="24"/>
        </w:rPr>
        <w:t xml:space="preserve">Kaminska M &amp; Sliwa H (2003) Effect of antibiotics on the symptoms of stunting disease of Magnolia liliiflora plants. Journal of Phytopathology, 151:59-63;</w:t>
      </w:r>
    </w:p>
    <w:p>
      <w:pPr>
        <w:numPr>
          <w:ilvl w:val="0"/>
          <w:numId w:val="1"/>
        </w:numPr>
        <w:spacing w:before="0" w:after="0" w:line="240" w:lineRule="auto"/>
        <w:jc w:val="left"/>
        <w:rPr>
          <w:color w:val="0200C9"/>
          <w:sz w:val="24"/>
          <w:szCs w:val="24"/>
        </w:rPr>
      </w:pPr>
      <w:r>
        <w:rPr>
          <w:color w:val="0200C9"/>
          <w:sz w:val="24"/>
          <w:szCs w:val="24"/>
        </w:rPr>
        <w:t xml:space="preserve">Kaminska M &amp; Sliwa H (2004) First report of phytoplasma belonging to apple proliferation group in roses in Poland. Plant Disease, 88:1283;</w:t>
      </w:r>
    </w:p>
    <w:p>
      <w:pPr>
        <w:numPr>
          <w:ilvl w:val="0"/>
          <w:numId w:val="1"/>
        </w:numPr>
        <w:spacing w:before="0" w:after="0" w:line="240" w:lineRule="auto"/>
        <w:jc w:val="left"/>
        <w:rPr>
          <w:color w:val="0200C9"/>
          <w:sz w:val="24"/>
          <w:szCs w:val="24"/>
        </w:rPr>
      </w:pPr>
      <w:r>
        <w:rPr>
          <w:color w:val="0200C9"/>
          <w:sz w:val="24"/>
          <w:szCs w:val="24"/>
        </w:rPr>
        <w:t xml:space="preserve">Kaminska M &amp; Sliwa H (2008a) Mixed infection of dahlia plants in Poland with apple proliferation and aster yellows phytoplasmas. Plant Pathology, 57:363;</w:t>
      </w:r>
    </w:p>
    <w:p>
      <w:pPr>
        <w:numPr>
          <w:ilvl w:val="0"/>
          <w:numId w:val="1"/>
        </w:numPr>
        <w:spacing w:before="0" w:after="0" w:line="240" w:lineRule="auto"/>
        <w:jc w:val="left"/>
        <w:rPr>
          <w:color w:val="0200C9"/>
          <w:sz w:val="24"/>
          <w:szCs w:val="24"/>
        </w:rPr>
      </w:pPr>
      <w:r>
        <w:rPr>
          <w:color w:val="0200C9"/>
          <w:sz w:val="24"/>
          <w:szCs w:val="24"/>
        </w:rPr>
        <w:t xml:space="preserve">Kaminska M &amp; Sliwa H (2008b) First report of ‘Candidatus Phytoplasma mali’ in oriental lilies and its association with leaf scorch in Poland, Plant Pathology, 57:363;</w:t>
      </w:r>
    </w:p>
    <w:p>
      <w:pPr>
        <w:numPr>
          <w:ilvl w:val="0"/>
          <w:numId w:val="1"/>
        </w:numPr>
        <w:spacing w:before="0" w:after="0" w:line="240" w:lineRule="auto"/>
        <w:jc w:val="left"/>
        <w:rPr>
          <w:color w:val="0200C9"/>
          <w:sz w:val="24"/>
          <w:szCs w:val="24"/>
        </w:rPr>
      </w:pPr>
      <w:r>
        <w:rPr>
          <w:color w:val="0200C9"/>
          <w:sz w:val="24"/>
          <w:szCs w:val="24"/>
        </w:rPr>
        <w:t xml:space="preserve">Prima phacie (2012) Pest risk assessment for the European Community plant health: A comparative approach with case studies. External scientific report by group of authors: </w:t>
      </w:r>
      <w:hyperlink r:id="rId6774662b9ca161e85" w:history="1">
        <w:r>
          <w:rPr>
            <w:color w:val="0200C9"/>
            <w:sz w:val="24"/>
            <w:szCs w:val="24"/>
          </w:rPr>
          <w:t xml:space="preserve">http://www.efsa.europa.eu/fr/supporting/doc/319e.pdf</w:t>
        </w:r>
      </w:hyperlink>
      <w:r>
        <w:rPr>
          <w:color w:val="0200C9"/>
          <w:sz w:val="24"/>
          <w:szCs w:val="24"/>
        </w:rPr>
        <w:t xml:space="preserve">;</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7400265">
    <w:multiLevelType w:val="hybridMultilevel"/>
    <w:lvl w:ilvl="0" w:tplc="98402576">
      <w:start w:val="1"/>
      <w:numFmt w:val="decimal"/>
      <w:lvlText w:val="%1."/>
      <w:lvlJc w:val="left"/>
      <w:pPr>
        <w:ind w:left="720" w:hanging="360"/>
      </w:pPr>
    </w:lvl>
    <w:lvl w:ilvl="1" w:tplc="98402576" w:tentative="1">
      <w:start w:val="1"/>
      <w:numFmt w:val="lowerLetter"/>
      <w:lvlText w:val="%2."/>
      <w:lvlJc w:val="left"/>
      <w:pPr>
        <w:ind w:left="1440" w:hanging="360"/>
      </w:pPr>
    </w:lvl>
    <w:lvl w:ilvl="2" w:tplc="98402576" w:tentative="1">
      <w:start w:val="1"/>
      <w:numFmt w:val="lowerRoman"/>
      <w:lvlText w:val="%3."/>
      <w:lvlJc w:val="right"/>
      <w:pPr>
        <w:ind w:left="2160" w:hanging="180"/>
      </w:pPr>
    </w:lvl>
    <w:lvl w:ilvl="3" w:tplc="98402576" w:tentative="1">
      <w:start w:val="1"/>
      <w:numFmt w:val="decimal"/>
      <w:lvlText w:val="%4."/>
      <w:lvlJc w:val="left"/>
      <w:pPr>
        <w:ind w:left="2880" w:hanging="360"/>
      </w:pPr>
    </w:lvl>
    <w:lvl w:ilvl="4" w:tplc="98402576" w:tentative="1">
      <w:start w:val="1"/>
      <w:numFmt w:val="lowerLetter"/>
      <w:lvlText w:val="%5."/>
      <w:lvlJc w:val="left"/>
      <w:pPr>
        <w:ind w:left="3600" w:hanging="360"/>
      </w:pPr>
    </w:lvl>
    <w:lvl w:ilvl="5" w:tplc="98402576" w:tentative="1">
      <w:start w:val="1"/>
      <w:numFmt w:val="lowerRoman"/>
      <w:lvlText w:val="%6."/>
      <w:lvlJc w:val="right"/>
      <w:pPr>
        <w:ind w:left="4320" w:hanging="180"/>
      </w:pPr>
    </w:lvl>
    <w:lvl w:ilvl="6" w:tplc="98402576" w:tentative="1">
      <w:start w:val="1"/>
      <w:numFmt w:val="decimal"/>
      <w:lvlText w:val="%7."/>
      <w:lvlJc w:val="left"/>
      <w:pPr>
        <w:ind w:left="5040" w:hanging="360"/>
      </w:pPr>
    </w:lvl>
    <w:lvl w:ilvl="7" w:tplc="98402576" w:tentative="1">
      <w:start w:val="1"/>
      <w:numFmt w:val="lowerLetter"/>
      <w:lvlText w:val="%8."/>
      <w:lvlJc w:val="left"/>
      <w:pPr>
        <w:ind w:left="5760" w:hanging="360"/>
      </w:pPr>
    </w:lvl>
    <w:lvl w:ilvl="8" w:tplc="98402576" w:tentative="1">
      <w:start w:val="1"/>
      <w:numFmt w:val="lowerRoman"/>
      <w:lvlText w:val="%9."/>
      <w:lvlJc w:val="right"/>
      <w:pPr>
        <w:ind w:left="6480" w:hanging="180"/>
      </w:pPr>
    </w:lvl>
  </w:abstractNum>
  <w:abstractNum w:abstractNumId="17400264">
    <w:multiLevelType w:val="hybridMultilevel"/>
    <w:lvl w:ilvl="0" w:tplc="8914161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7400264">
    <w:abstractNumId w:val="17400264"/>
  </w:num>
  <w:num w:numId="17400265">
    <w:abstractNumId w:val="1740026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910572347" Type="http://schemas.microsoft.com/office/2011/relationships/commentsExtended" Target="commentsExtended.xml"/><Relationship Id="rId1720662b9ca1618ac" Type="http://schemas.openxmlformats.org/officeDocument/2006/relationships/hyperlink" Target="https://gd.eppo.int/" TargetMode="External"/><Relationship Id="rId8464662b9ca161da7" Type="http://schemas.openxmlformats.org/officeDocument/2006/relationships/hyperlink" Target="https://www.anses.fr/fr/system/files/SVEG2011sa0137Ra.pdf" TargetMode="External"/><Relationship Id="rId5707662b9ca161ddb" Type="http://schemas.openxmlformats.org/officeDocument/2006/relationships/hyperlink" Target="http://www.omafra.gov.on.ca/english/crops/hort/news/orchnews/2013/on-0413a9.htm" TargetMode="External"/><Relationship Id="rId6774662b9ca161e85" Type="http://schemas.openxmlformats.org/officeDocument/2006/relationships/hyperlink" Target="http://www.efsa.europa.eu/fr/supporting/doc/319e.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