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mali (Apple proliferation mycoplasm) (PHYPMA)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Apple proliferation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Main host plant is the Apple tree (Malus x domestica). All cultivars and rootstocks are potential host plants, including ornamentals and wild plants belonging to the genus Malus (ANSES, 2012). This justifies a listing of host plants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(1993); Croatia (1996); Czech Republic (2013); Finland (2013); France (2011); Germany (2011); Greece (2011); Hungary (2010); Italy (2013); Netherlands (2015); Poland (2015); Romania (1992); Slovakia (1978); Slovenia (2011);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8396956627f4a71c"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in view of the problematic of vector transmission.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an efficient pathway, when propagated from infested plants and depending on the grafting technique (Seemüller et al., 2011). Pathogen concentration and repartition in the trees is fluctuant in space and during the year. In absence of phytosanitary measures, vector transmission is the most important pathway (ANSES, 2012), with vertical transmission of the pathogen through psyllids generations (Mittelberger et al., 2017). Infection by root-bridges are possible but need short distances (&lt;1m) between the infected Malus and the phytoplasma-free Malus to be infected. The infected trees shows altered phloem and metabolic alterations such as hormone synthesis modifications that may influence vector reproduction (Zimmermann et al., 2015 ; Siewert et al., 2014). Transfer from other host in the same place of production is very limited. The plant for planting pathway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and the principal factor of impact is the decrease of the fruit size (30% to 60% of mean decrease). Fruits may also have less flavour and and a rolled aspect. In case of high infestations, 30% to 90% of harvested fruits are not marketable anymore. However, impact of the disease can reduce with the time, until sometimes symptoms totally disappear. It is the case in France where its impact on the fruit production is considered as limited (ANSES, 2012). The impact is mostly affected by the local existence of reservoirs and by the size of vector populations. Where CPs does occur, its impact can be significant but shows high yearly fluctuations associated with fluctuations in the population densities of insect vectors and of wild plant reservoirs that cannot be easily controlled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in yield and quality on the affected trees, extra costs of harvesting and grading, costs of replanting could be important. While the pathogen and its vector is widely distributed in the EU area the economic losses are considered as medium or low, depending the country/area (Bertaccini et al. 2014; ANSES,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Despite the presence in the EU area of both the phytoplasma and its vectors, the combination of prophylactic measures including the choice of varieties, rootstocks, the use of certified material for both, keeping pre-basic material under insect-proof conditions, removing each symptomatic tree in orchard, the targeted fight against vectors may maintain the infestation under an acceptable level (ANSES, 2012 ; PrimaFacie, 2012). Other disease management strategies focus on vector control, and recent strategies are considering strategies of biocontrol (Bulgari et al., 2014) or the use of suppressive strains (Schneider et al.,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the proliferation of the disease in all EU regions. However the impact of the pathogen on the production is documented, and the pathogen is widely dispersed throughout EU, with natural hosts present in the environment (M. sylvestris) and wide areas of production of M. communis. The psyllids vectors are aslo widely distributed in EU. Economical impact is likely to be more important on plant production, and several measures are identified to prevent the propagation of the phytoplasma with plant material : using certified/controlled material; measures against the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considered that visual examination of the mother plant was sufficient (no support for testing of the mother plants, as symptoms on mother plants are considered to be easily seen).</w:t>
      </w:r>
      <w:r>
        <w:rPr>
          <w:color w:val="0200C9"/>
          <w:sz w:val="24"/>
          <w:szCs w:val="24"/>
        </w:rPr>
        <w:br/>
        <w:t xml:space="preserve">Later the coreHEWGplus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21626956627f4ac7c"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Bertaccini A, Duduk B, Paltrinieri S &amp; Contaldo N (2014) Phytoplasmas and phytoplasma diseases: a severe threat to agriculture. American Journal of Plant Sciences, 2014;</w:t>
      </w:r>
    </w:p>
    <w:p>
      <w:pPr>
        <w:numPr>
          <w:ilvl w:val="0"/>
          <w:numId w:val="1"/>
        </w:numPr>
        <w:spacing w:before="0" w:after="0" w:line="240" w:lineRule="auto"/>
        <w:jc w:val="left"/>
        <w:rPr>
          <w:color w:val="0200C9"/>
          <w:sz w:val="24"/>
          <w:szCs w:val="24"/>
        </w:rPr>
      </w:pPr>
      <w:r>
        <w:rPr>
          <w:color w:val="0200C9"/>
          <w:sz w:val="24"/>
          <w:szCs w:val="24"/>
        </w:rPr>
        <w:t xml:space="preserve">Bulgari D, Casati P, Quaglino F &amp; Bianco P A (2014) Isolation of potential biocontrol agents of ‘Candidatus Phytoplasma mali’. Phytoplasmas and phytoplasma disease management: how to reduce their economic impact. International Phytoplasmologist Working Group. Food and Agriculture COST Action FA0807, 226. Available at: </w:t>
      </w:r>
      <w:hyperlink r:id="rId75946956627f4acc5" w:history="1">
        <w:r>
          <w:rPr>
            <w:color w:val="0200C9"/>
            <w:sz w:val="24"/>
            <w:szCs w:val="24"/>
          </w:rPr>
          <w:t xml:space="preserve">http://www.cost.eu/download/FAP_FA0807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Mittelberger C, Obkircher L, Oettl S, Oppedisano T, Pedrazzoli F, Panassiti B, Kerschbamer C, Anfora G &amp; Janik K (2017) The insect vector Cacopsylla picta vertically transmits the bacterium ‘Candidatus Phytoplasma mali’ to its progeny. Plant Pathology.</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97436956627f4ad1c"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Schneider B, Sule S, Jelkmann W &amp; Seemüller E (2014) Suppression of aggressive strains of ‘Candidatus phytoplasma mali’by mild strains in Catharanthus roseus and Nicotiana occidentalis and indication of similar action in apple trees. Phytopathology, 104, 453-461;</w:t>
      </w:r>
    </w:p>
    <w:p>
      <w:pPr>
        <w:numPr>
          <w:ilvl w:val="0"/>
          <w:numId w:val="1"/>
        </w:numPr>
        <w:spacing w:before="0" w:after="0" w:line="240" w:lineRule="auto"/>
        <w:jc w:val="left"/>
        <w:rPr>
          <w:color w:val="0200C9"/>
          <w:sz w:val="24"/>
          <w:szCs w:val="24"/>
        </w:rPr>
      </w:pPr>
      <w:r>
        <w:rPr>
          <w:color w:val="0200C9"/>
          <w:sz w:val="24"/>
          <w:szCs w:val="24"/>
        </w:rPr>
        <w:t xml:space="preserve">Seemüller E, Carraro L, Jarausch W &amp; Schneider B (2011) Apple proliferation phytoplasma. In: Virus and Virus-Like Disease of Pome and Stone Fruits. Edited</w:t>
      </w:r>
    </w:p>
    <w:p>
      <w:pPr>
        <w:numPr>
          <w:ilvl w:val="0"/>
          <w:numId w:val="1"/>
        </w:numPr>
        <w:spacing w:before="0" w:after="0" w:line="240" w:lineRule="auto"/>
        <w:jc w:val="left"/>
        <w:rPr>
          <w:color w:val="0200C9"/>
          <w:sz w:val="24"/>
          <w:szCs w:val="24"/>
        </w:rPr>
      </w:pPr>
      <w:r>
        <w:rPr>
          <w:color w:val="0200C9"/>
          <w:sz w:val="24"/>
          <w:szCs w:val="24"/>
        </w:rPr>
        <w:t xml:space="preserve">by Hadidi A, Barba M, Candresse T and Jelkman W, p. 67-73;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517103">
    <w:multiLevelType w:val="hybridMultilevel"/>
    <w:lvl w:ilvl="0" w:tplc="26113690">
      <w:start w:val="1"/>
      <w:numFmt w:val="decimal"/>
      <w:lvlText w:val="%1."/>
      <w:lvlJc w:val="left"/>
      <w:pPr>
        <w:ind w:left="720" w:hanging="360"/>
      </w:pPr>
    </w:lvl>
    <w:lvl w:ilvl="1" w:tplc="26113690" w:tentative="1">
      <w:start w:val="1"/>
      <w:numFmt w:val="lowerLetter"/>
      <w:lvlText w:val="%2."/>
      <w:lvlJc w:val="left"/>
      <w:pPr>
        <w:ind w:left="1440" w:hanging="360"/>
      </w:pPr>
    </w:lvl>
    <w:lvl w:ilvl="2" w:tplc="26113690" w:tentative="1">
      <w:start w:val="1"/>
      <w:numFmt w:val="lowerRoman"/>
      <w:lvlText w:val="%3."/>
      <w:lvlJc w:val="right"/>
      <w:pPr>
        <w:ind w:left="2160" w:hanging="180"/>
      </w:pPr>
    </w:lvl>
    <w:lvl w:ilvl="3" w:tplc="26113690" w:tentative="1">
      <w:start w:val="1"/>
      <w:numFmt w:val="decimal"/>
      <w:lvlText w:val="%4."/>
      <w:lvlJc w:val="left"/>
      <w:pPr>
        <w:ind w:left="2880" w:hanging="360"/>
      </w:pPr>
    </w:lvl>
    <w:lvl w:ilvl="4" w:tplc="26113690" w:tentative="1">
      <w:start w:val="1"/>
      <w:numFmt w:val="lowerLetter"/>
      <w:lvlText w:val="%5."/>
      <w:lvlJc w:val="left"/>
      <w:pPr>
        <w:ind w:left="3600" w:hanging="360"/>
      </w:pPr>
    </w:lvl>
    <w:lvl w:ilvl="5" w:tplc="26113690" w:tentative="1">
      <w:start w:val="1"/>
      <w:numFmt w:val="lowerRoman"/>
      <w:lvlText w:val="%6."/>
      <w:lvlJc w:val="right"/>
      <w:pPr>
        <w:ind w:left="4320" w:hanging="180"/>
      </w:pPr>
    </w:lvl>
    <w:lvl w:ilvl="6" w:tplc="26113690" w:tentative="1">
      <w:start w:val="1"/>
      <w:numFmt w:val="decimal"/>
      <w:lvlText w:val="%7."/>
      <w:lvlJc w:val="left"/>
      <w:pPr>
        <w:ind w:left="5040" w:hanging="360"/>
      </w:pPr>
    </w:lvl>
    <w:lvl w:ilvl="7" w:tplc="26113690" w:tentative="1">
      <w:start w:val="1"/>
      <w:numFmt w:val="lowerLetter"/>
      <w:lvlText w:val="%8."/>
      <w:lvlJc w:val="left"/>
      <w:pPr>
        <w:ind w:left="5760" w:hanging="360"/>
      </w:pPr>
    </w:lvl>
    <w:lvl w:ilvl="8" w:tplc="26113690" w:tentative="1">
      <w:start w:val="1"/>
      <w:numFmt w:val="lowerRoman"/>
      <w:lvlText w:val="%9."/>
      <w:lvlJc w:val="right"/>
      <w:pPr>
        <w:ind w:left="6480" w:hanging="180"/>
      </w:pPr>
    </w:lvl>
  </w:abstractNum>
  <w:abstractNum w:abstractNumId="83517102">
    <w:multiLevelType w:val="hybridMultilevel"/>
    <w:lvl w:ilvl="0" w:tplc="984092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517102">
    <w:abstractNumId w:val="83517102"/>
  </w:num>
  <w:num w:numId="83517103">
    <w:abstractNumId w:val="835171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0209780" Type="http://schemas.microsoft.com/office/2011/relationships/commentsExtended" Target="commentsExtended.xml"/><Relationship Id="rId28396956627f4a71c" Type="http://schemas.openxmlformats.org/officeDocument/2006/relationships/hyperlink" Target="https://gd.eppo.int/" TargetMode="External"/><Relationship Id="rId21626956627f4ac7c" Type="http://schemas.openxmlformats.org/officeDocument/2006/relationships/hyperlink" Target="https://www.anses.fr/fr/system/files/SVEG2011sa0137Ra.pdf" TargetMode="External"/><Relationship Id="rId75946956627f4acc5" Type="http://schemas.openxmlformats.org/officeDocument/2006/relationships/hyperlink" Target="http://www.cost.eu/download/FAP_FA0807" TargetMode="External"/><Relationship Id="rId97436956627f4ad1c"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