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Lecanosticta acicola (Scirrhia acicola) (SCIRAC)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Mycosphaerella dearnessii (teleomorph form) is presented by EFSA (Prima Phacie, 2012) as the preferred name. According to 'Index Fungorum' and 'Mycobank', the preferred name should be the anamorph form, Lecanosticta acicola. As far as the teleomorph form has not been found on the EU territory, it is proposed to use the anamorph form name.</w:t>
      </w:r>
      <w:r>
        <w:rPr>
          <w:color w:val="0200C9"/>
          <w:sz w:val="24"/>
          <w:szCs w:val="24"/>
        </w:rPr>
        <w:br/>
        <w:t xml:space="preserve">All pine species are potential hosts of the pathogen (30 Pinus spp. are listed as major or minor hosts) (Prima Phacie, 2012). When replying to the Questionnaire for the Forest reproductive material sector, ENA only proposed the listing of a defined list of host species (Pinus halepensis, P. leucodermis, P. nigra, P. sylvestris, P. brutia, P. radiata, P. pinea, P. canariensis, P. pinaster, P. contorta, P. cembra). Important impact is only foreseen on some specific species. However, as the three pine needle blight should be regulated together and do not have the same major hosts, experts proposed to keep a listing at the genus level for Pinus.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(2016); Croatia (1997); Czech Republic (2008); France (1994); Germany (1995); Italy (2000); Latvia (2013); Lithuania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this pest is listed in annex IIA1 of Council Directive 2000/29/EC (as a pest not known to occur in the EU), this pathogen is a candidate for the RNQP status according to the IIA2AWG. Data of the presence of this pest on the EU territory are available in EPPO Global Database (</w:t>
      </w:r>
      <w:hyperlink r:id="rId612969b018cf305c7" w:history="1">
        <w:r>
          <w:rPr>
            <w:color w:val="0200C9"/>
            <w:sz w:val="24"/>
            <w:szCs w:val="24"/>
          </w:rPr>
          <w:t xml:space="preserve">https://gd.eppo.int/</w:t>
        </w:r>
      </w:hyperlink>
      <w:r>
        <w:rPr>
          <w:color w:val="0200C9"/>
          <w:sz w:val="24"/>
          <w:szCs w:val="24"/>
        </w:rPr>
        <w:t xml:space="preserve">). Due to the necessity of laboratory confirmation based on the cultural, morphological and molecular characters of the anamorphs, it is possible that the fungus has been under-recorded due to its similarity to the more widespread S. pini (EU COM, 2016). This pest is less distributed than D. septosporum (localized outbreaks in a third of the MSs). In the event of the removal for the EU Quarantine list, its presence on the EU territory is sufficient to qualify for the RNQP Status.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Pine seedlings is a pathway: Intercontinental introduction of L. acicola can most likely be explained as a consequence of the movement of infected plant material (Janousek et al., 2016).</w:t>
      </w:r>
      <w:r>
        <w:rPr>
          <w:color w:val="0200C9"/>
          <w:sz w:val="24"/>
          <w:szCs w:val="24"/>
        </w:rPr>
        <w:br/>
        <w:t xml:space="preserve">In area where the pest is present, conidia are also a pathway when splashed by the rain, or, to much lesser extent, when dispersed over long distances by wind-driven rain (Prima Phacie, 2012). Conidia are sticky and are therefore not easily spread over long distances by wind and rain.</w:t>
      </w:r>
      <w:r>
        <w:rPr>
          <w:color w:val="0200C9"/>
          <w:sz w:val="24"/>
          <w:szCs w:val="24"/>
        </w:rPr>
        <w:br/>
        <w:t xml:space="preserve">L. acicola can also be spread by insects over short distances, or by humans (e.g. tourists in national parks) over long distances.</w:t>
      </w:r>
      <w:r>
        <w:rPr>
          <w:color w:val="0200C9"/>
          <w:sz w:val="24"/>
          <w:szCs w:val="24"/>
        </w:rPr>
        <w:br/>
        <w:t xml:space="preserve">Introduction of the teleomorph stage (currently only southern USA) is also likely to spread the pathogen over greater distances due to the production of forcefully discharged, wind-blown ascospores (EU COM, 2016). In absence of the teleomorph form in the EU, plants for planting are still considered to be a significant pathway compared to natural dispersal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acicola causes yellowing, necrosis of young needles and defoliations which may reduce vigour. Severe infections may retard the growth, whereas attack over several years can kill the trees (Prima Phacie, 2012). Current impact in the EU do not appear significant, however introduction of new genotypes if the teleomorph stage was ever introduced may make this change (EU COM, 2016). Impact is only considered to be important on some specific species (e.g. P. palustris in the southern USA where the disease reduces the annual growth of southern pines by more than 0.453 million m3 of timber, certain varieties of P. sylvestris and other Christmas trees in Northern America).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limited number of Pinus species. However,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Scirrhia acicola;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286969b018cf30a53"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113456">
    <w:multiLevelType w:val="hybridMultilevel"/>
    <w:lvl w:ilvl="0" w:tplc="21275517">
      <w:start w:val="1"/>
      <w:numFmt w:val="decimal"/>
      <w:lvlText w:val="%1."/>
      <w:lvlJc w:val="left"/>
      <w:pPr>
        <w:ind w:left="720" w:hanging="360"/>
      </w:pPr>
    </w:lvl>
    <w:lvl w:ilvl="1" w:tplc="21275517" w:tentative="1">
      <w:start w:val="1"/>
      <w:numFmt w:val="lowerLetter"/>
      <w:lvlText w:val="%2."/>
      <w:lvlJc w:val="left"/>
      <w:pPr>
        <w:ind w:left="1440" w:hanging="360"/>
      </w:pPr>
    </w:lvl>
    <w:lvl w:ilvl="2" w:tplc="21275517" w:tentative="1">
      <w:start w:val="1"/>
      <w:numFmt w:val="lowerRoman"/>
      <w:lvlText w:val="%3."/>
      <w:lvlJc w:val="right"/>
      <w:pPr>
        <w:ind w:left="2160" w:hanging="180"/>
      </w:pPr>
    </w:lvl>
    <w:lvl w:ilvl="3" w:tplc="21275517" w:tentative="1">
      <w:start w:val="1"/>
      <w:numFmt w:val="decimal"/>
      <w:lvlText w:val="%4."/>
      <w:lvlJc w:val="left"/>
      <w:pPr>
        <w:ind w:left="2880" w:hanging="360"/>
      </w:pPr>
    </w:lvl>
    <w:lvl w:ilvl="4" w:tplc="21275517" w:tentative="1">
      <w:start w:val="1"/>
      <w:numFmt w:val="lowerLetter"/>
      <w:lvlText w:val="%5."/>
      <w:lvlJc w:val="left"/>
      <w:pPr>
        <w:ind w:left="3600" w:hanging="360"/>
      </w:pPr>
    </w:lvl>
    <w:lvl w:ilvl="5" w:tplc="21275517" w:tentative="1">
      <w:start w:val="1"/>
      <w:numFmt w:val="lowerRoman"/>
      <w:lvlText w:val="%6."/>
      <w:lvlJc w:val="right"/>
      <w:pPr>
        <w:ind w:left="4320" w:hanging="180"/>
      </w:pPr>
    </w:lvl>
    <w:lvl w:ilvl="6" w:tplc="21275517" w:tentative="1">
      <w:start w:val="1"/>
      <w:numFmt w:val="decimal"/>
      <w:lvlText w:val="%7."/>
      <w:lvlJc w:val="left"/>
      <w:pPr>
        <w:ind w:left="5040" w:hanging="360"/>
      </w:pPr>
    </w:lvl>
    <w:lvl w:ilvl="7" w:tplc="21275517" w:tentative="1">
      <w:start w:val="1"/>
      <w:numFmt w:val="lowerLetter"/>
      <w:lvlText w:val="%8."/>
      <w:lvlJc w:val="left"/>
      <w:pPr>
        <w:ind w:left="5760" w:hanging="360"/>
      </w:pPr>
    </w:lvl>
    <w:lvl w:ilvl="8" w:tplc="21275517" w:tentative="1">
      <w:start w:val="1"/>
      <w:numFmt w:val="lowerRoman"/>
      <w:lvlText w:val="%9."/>
      <w:lvlJc w:val="right"/>
      <w:pPr>
        <w:ind w:left="6480" w:hanging="180"/>
      </w:pPr>
    </w:lvl>
  </w:abstractNum>
  <w:abstractNum w:abstractNumId="81113455">
    <w:multiLevelType w:val="hybridMultilevel"/>
    <w:lvl w:ilvl="0" w:tplc="247627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113455">
    <w:abstractNumId w:val="81113455"/>
  </w:num>
  <w:num w:numId="81113456">
    <w:abstractNumId w:val="811134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7138660" Type="http://schemas.microsoft.com/office/2011/relationships/commentsExtended" Target="commentsExtended.xml"/><Relationship Id="rId612969b018cf305c7" Type="http://schemas.openxmlformats.org/officeDocument/2006/relationships/hyperlink" Target="https://gd.eppo.int/" TargetMode="External"/><Relationship Id="rId286969b018cf30a53"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