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prunorum (Apricot chlorotic leafroll mycoplasm) (PHYPPR)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Apricot chlorotic leafroll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For the Fruit and ornamental sectors: Candidatus phytoplasma prunorum has been detected frequently on Prunus armeniaca, P. salicina, P. domestica, P. persica and more rarely on P. amygdalus (Cieślińska, 2011). Wild species of P. spinosa and P. cerasifera are frequently host plants. This diversity is supporting a listing at the Genus level for Prunus.</w:t>
      </w:r>
      <w:r>
        <w:rPr>
          <w:color w:val="0200C9"/>
          <w:sz w:val="24"/>
          <w:szCs w:val="24"/>
        </w:rPr>
        <w:br/>
        <w:t xml:space="preserve">For the Forestry sector: Prunus avium is the only host of the Prunus genus listed in Annex I of EU Directive 1999/105. However experts also considered during the evaluation other Prunus species, since other species are more susceptible to the disease and could also be grown in forest nurseries.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(2012); Belgium (2012); Bulgaria (2012); Croatia (2012); Czech Republic (2012); France (2012); France/Corse (2012); Germany (2012); Greece (2012); Hungary (2012); Italy (2012); Italy/Sardegna (2012); Poland (2012); Romania (2012); Slovakia (2012); Slovenia (2012); Spain (2015); United Kingdom (2000); United Kingdom/England (2000)</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822662a04c372bb2" w:history="1">
        <w:r>
          <w:rPr>
            <w:color w:val="0200C9"/>
            <w:sz w:val="24"/>
            <w:szCs w:val="24"/>
          </w:rPr>
          <w:t xml:space="preserve">https://gd.eppo.int/</w:t>
        </w:r>
      </w:hyperlink>
      <w:r>
        <w:rPr>
          <w:color w:val="0200C9"/>
          <w:sz w:val="24"/>
          <w:szCs w:val="24"/>
        </w:rPr>
        <w:t xml:space="preserve">). This pest is a candidate for the RNQP status according to the IIA2AWG.</w:t>
      </w:r>
      <w:r>
        <w:rPr>
          <w:color w:val="0200C9"/>
          <w:sz w:val="24"/>
          <w:szCs w:val="24"/>
        </w:rPr>
        <w:br/>
        <w:t xml:space="preserve">Comment by forestry experts: Very limited number of analyses were performed on Prunus avium, but besides older data, new reports are confirmed from Poland (Cieslinska 2015), Czech Republic (Ludvikova et al., 2011) and Hungary (Tarcali &amp; Kovics, 2012). Since no targeted surveys of CPp infection on Prunus avium are undertaken, the distribution of CPp in Europe is unclear and suspected to be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All species of the Prunus genus are not covered by the EPPO PM 4/30 Standard, evaluation continues for the whole genus.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are an efficient pathway. Pathogen concentration and distribution in the trees is fluctuant in space and during the year. Wild tolerant hosts are an important source of infection (Seljak and Rot, 2013) and are present in most of the regions producing stone fruit. Vector transmission is a pathway, especially in regions where the vector Cacopsylla pruni is present. In these regions vector transmission might be the main pathway, but it is still important, even in these regions, to delay the occurrence of symptoms and damages. Experts concluded that plants for planting are a significant pathway compared to other pathways. Remark: Plant species which are used as ornamentals, such as Fraxinus excelsior, Celtis australis, Rosa canina and wild Prunus species (e.g. Prunus spinosa), have been found to be infected by this phytoplasma (Jarausch et al., 2001; Carraro et al., 2002). Carraro et al. (2002) concluded that such plants are natural hosts for both the pathogen and the insect-vector, thus the cycle of the pathogen can be completed independently from the presence of cultivated stone-fruit trees, and thus the presence of these plants in an area play a role in the epidemiology of the disease.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No information of possible impacts on ornamental plants. However plants in the surroundings of stone-fruit tree orchards have been found infected by this phytoplasma (Jarausch et al., 2001; Carraro et al., 2002) and thus they may cause indirect economic impact.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probably no economic impact for the ornamental use. However ornamental plants may be produced at the same place of production than plants for the fruit production, or planted in the surrounding area of stone-fruit orchards. It may be necessary to take measures on ornamental plants, in view of the risk they pose to the fruit sector.</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potential indirect economic impacts on fruit crops at the same place of production.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symptoms of 'Candidatus Phytoplasma prunorum'.</w:t>
      </w:r>
      <w:r>
        <w:rPr>
          <w:color w:val="0200C9"/>
          <w:sz w:val="24"/>
          <w:szCs w:val="24"/>
        </w:rPr>
        <w:br/>
        <w:t xml:space="preserve">AND</w:t>
      </w:r>
      <w:r>
        <w:rPr>
          <w:color w:val="0200C9"/>
          <w:sz w:val="24"/>
          <w:szCs w:val="24"/>
        </w:rPr>
        <w:br/>
        <w:t xml:space="preserve">(B) (a) Plants produced in areas known to be free from 'Candidatus Phytoplasma prunorum';</w:t>
      </w:r>
      <w:r>
        <w:rPr>
          <w:color w:val="0200C9"/>
          <w:sz w:val="24"/>
          <w:szCs w:val="24"/>
        </w:rPr>
        <w:br/>
        <w:t xml:space="preserve">or</w:t>
      </w:r>
      <w:r>
        <w:rPr>
          <w:color w:val="0200C9"/>
          <w:sz w:val="24"/>
          <w:szCs w:val="24"/>
        </w:rPr>
        <w:br/>
        <w:t xml:space="preserve">(b) Site of production found free from 'Candidatus Phytoplasma prunorum'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 and a representative sample of the remaining asymptomatic plants in the lots in which symptomatic plants were found has been tested and found free from 'Candidatus Phytoplasma prunorum'.</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measures from the fruit sector. Most ornamental Prunus are grafted on P. avium rootstocks.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8859662a04c37316b"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Carraro L, Ferrini F, Ermacora P &amp; Loi N (2002) Role of wild Prunus species in the epidemiology of European stone fruit yellows. Plant Pathology 51, 513–517;</w:t>
      </w:r>
    </w:p>
    <w:p>
      <w:pPr>
        <w:numPr>
          <w:ilvl w:val="0"/>
          <w:numId w:val="1"/>
        </w:numPr>
        <w:spacing w:before="0" w:after="0" w:line="240" w:lineRule="auto"/>
        <w:jc w:val="left"/>
        <w:rPr>
          <w:color w:val="0200C9"/>
          <w:sz w:val="24"/>
          <w:szCs w:val="24"/>
        </w:rPr>
      </w:pPr>
      <w:r>
        <w:rPr>
          <w:color w:val="0200C9"/>
          <w:sz w:val="24"/>
          <w:szCs w:val="24"/>
        </w:rPr>
        <w:t xml:space="preserve">Cieślińska M (2011) European Stone Fruit Yellows disease and its causal agent ‘Candidatus phytoplasma prunorum’. Journal of Plant Protection Research 51, 441-447;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Apricot chlorotic leafroll mycoplasma;</w:t>
      </w:r>
    </w:p>
    <w:p>
      <w:pPr>
        <w:numPr>
          <w:ilvl w:val="0"/>
          <w:numId w:val="1"/>
        </w:numPr>
        <w:spacing w:before="0" w:after="0" w:line="240" w:lineRule="auto"/>
        <w:jc w:val="left"/>
        <w:rPr>
          <w:color w:val="0200C9"/>
          <w:sz w:val="24"/>
          <w:szCs w:val="24"/>
        </w:rPr>
      </w:pPr>
      <w:r>
        <w:rPr>
          <w:color w:val="0200C9"/>
          <w:sz w:val="24"/>
          <w:szCs w:val="24"/>
        </w:rPr>
        <w:t xml:space="preserve">Jarausch W, Jarausch-Wehrheim B, Danet JL, Broquaire JM, Dosba F, Saillard C &amp; Garnier M (2001) Detection and indentification of European stone fruit yellows and other phytoplasmas in wild plants in the surroundings of apricot chlorotic leaf roll-affected orchards in southern France. European Journal of Plant Pathology 107, 209–217;</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4007662a04c373210"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Sullivan M (2013) CPHST Pest Datasheet for ‘Candidatus Phytoplasma prunorum’. USDA-APHIS-PPQ-CPHST. Revised July 2016;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616454">
    <w:multiLevelType w:val="hybridMultilevel"/>
    <w:lvl w:ilvl="0" w:tplc="44492811">
      <w:start w:val="1"/>
      <w:numFmt w:val="decimal"/>
      <w:lvlText w:val="%1."/>
      <w:lvlJc w:val="left"/>
      <w:pPr>
        <w:ind w:left="720" w:hanging="360"/>
      </w:pPr>
    </w:lvl>
    <w:lvl w:ilvl="1" w:tplc="44492811" w:tentative="1">
      <w:start w:val="1"/>
      <w:numFmt w:val="lowerLetter"/>
      <w:lvlText w:val="%2."/>
      <w:lvlJc w:val="left"/>
      <w:pPr>
        <w:ind w:left="1440" w:hanging="360"/>
      </w:pPr>
    </w:lvl>
    <w:lvl w:ilvl="2" w:tplc="44492811" w:tentative="1">
      <w:start w:val="1"/>
      <w:numFmt w:val="lowerRoman"/>
      <w:lvlText w:val="%3."/>
      <w:lvlJc w:val="right"/>
      <w:pPr>
        <w:ind w:left="2160" w:hanging="180"/>
      </w:pPr>
    </w:lvl>
    <w:lvl w:ilvl="3" w:tplc="44492811" w:tentative="1">
      <w:start w:val="1"/>
      <w:numFmt w:val="decimal"/>
      <w:lvlText w:val="%4."/>
      <w:lvlJc w:val="left"/>
      <w:pPr>
        <w:ind w:left="2880" w:hanging="360"/>
      </w:pPr>
    </w:lvl>
    <w:lvl w:ilvl="4" w:tplc="44492811" w:tentative="1">
      <w:start w:val="1"/>
      <w:numFmt w:val="lowerLetter"/>
      <w:lvlText w:val="%5."/>
      <w:lvlJc w:val="left"/>
      <w:pPr>
        <w:ind w:left="3600" w:hanging="360"/>
      </w:pPr>
    </w:lvl>
    <w:lvl w:ilvl="5" w:tplc="44492811" w:tentative="1">
      <w:start w:val="1"/>
      <w:numFmt w:val="lowerRoman"/>
      <w:lvlText w:val="%6."/>
      <w:lvlJc w:val="right"/>
      <w:pPr>
        <w:ind w:left="4320" w:hanging="180"/>
      </w:pPr>
    </w:lvl>
    <w:lvl w:ilvl="6" w:tplc="44492811" w:tentative="1">
      <w:start w:val="1"/>
      <w:numFmt w:val="decimal"/>
      <w:lvlText w:val="%7."/>
      <w:lvlJc w:val="left"/>
      <w:pPr>
        <w:ind w:left="5040" w:hanging="360"/>
      </w:pPr>
    </w:lvl>
    <w:lvl w:ilvl="7" w:tplc="44492811" w:tentative="1">
      <w:start w:val="1"/>
      <w:numFmt w:val="lowerLetter"/>
      <w:lvlText w:val="%8."/>
      <w:lvlJc w:val="left"/>
      <w:pPr>
        <w:ind w:left="5760" w:hanging="360"/>
      </w:pPr>
    </w:lvl>
    <w:lvl w:ilvl="8" w:tplc="44492811" w:tentative="1">
      <w:start w:val="1"/>
      <w:numFmt w:val="lowerRoman"/>
      <w:lvlText w:val="%9."/>
      <w:lvlJc w:val="right"/>
      <w:pPr>
        <w:ind w:left="6480" w:hanging="180"/>
      </w:pPr>
    </w:lvl>
  </w:abstractNum>
  <w:abstractNum w:abstractNumId="29616453">
    <w:multiLevelType w:val="hybridMultilevel"/>
    <w:lvl w:ilvl="0" w:tplc="50687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616453">
    <w:abstractNumId w:val="29616453"/>
  </w:num>
  <w:num w:numId="29616454">
    <w:abstractNumId w:val="296164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9057517" Type="http://schemas.microsoft.com/office/2011/relationships/commentsExtended" Target="commentsExtended.xml"/><Relationship Id="rId5822662a04c372bb2" Type="http://schemas.openxmlformats.org/officeDocument/2006/relationships/hyperlink" Target="https://gd.eppo.int/" TargetMode="External"/><Relationship Id="rId8859662a04c37316b" Type="http://schemas.openxmlformats.org/officeDocument/2006/relationships/hyperlink" Target="https://www.anses.fr/fr/system/files/SVEG2011sa0137Ra.pdf" TargetMode="External"/><Relationship Id="rId4007662a04c373210"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