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prunorum (Apricot chlorotic leafroll mycoplasm) (PHYPPR)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Apricot chlorotic leafroll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(2012); Bulgaria (2012); Croatia (2012); Czech Republic (2012); France (2012); France/Corse (2012); Germany (2012); Greece (2012); Hungary (2012); Italy (2012); Italy/Sardegna (2012); Poland (2012); Romania (2012); Slovakia (2012); Slovenia (2012); Spain (2015); United Kingdom (2000); United Kingdom/England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7169b018ce5d6a2" w:history="1">
        <w:r>
          <w:rPr>
            <w:color w:val="0200C9"/>
            <w:sz w:val="24"/>
            <w:szCs w:val="24"/>
          </w:rPr>
          <w:t xml:space="preserve">https://gd.eppo.int/</w:t>
        </w:r>
      </w:hyperlink>
      <w:r>
        <w:rPr>
          <w:color w:val="0200C9"/>
          <w:sz w:val="24"/>
          <w:szCs w:val="24"/>
        </w:rPr>
        <w:t xml:space="preserve">). This pest is a candidate for the RNQP status according to the IIA2AWG.</w:t>
      </w:r>
      <w:r>
        <w:rPr>
          <w:color w:val="0200C9"/>
          <w:sz w:val="24"/>
          <w:szCs w:val="24"/>
        </w:rPr>
        <w:br/>
        <w:t xml:space="preserve">Comment by forestry experts: Very limited number of analyses were performed on Prunus avium, but besides older data, new reports are confirmed from Poland (Cieslinska 2015), Czech Republic (Ludvikova et al., 2011) and Hungary (Tarcali &amp; Kovics, 2012). Since no targeted surveys of CPp infection on Prunus avium are undertaken, the distribution of CPp in Europe is unclear and suspected to be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species of the Prunus genus are not covered by the EPPO PM 4/30 Standard, evaluation continues for the whole genus.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damages.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Prunus armeniaca and japanese plums (P. salicina) are particularly impacted as this phytoplasma can lead to the mortality of the plants (ANSES, 2012). It causes substantial economic losses due to tree decline, reduction in fruit weight and quality. Economic incidence is less important for P. persica, P. amygdalus and P. domestica. In France, in the department Pyrenees-Orientales, about 80 % of the mortality and decline observed on</w:t>
      </w:r>
      <w:r>
        <w:rPr>
          <w:color w:val="0200C9"/>
          <w:sz w:val="24"/>
          <w:szCs w:val="24"/>
        </w:rPr>
        <w:br/>
        <w:t xml:space="preserve">apricot is due to ESFY and the production losses associated with ESFY in Italian plum orchards reach up to 40 % in Japanese plum. The economic incidence, however, depends on the susceptibility of the Prunus species, cultivars and varieties and the strain virulence. The disease is reported as “economically very important” and “severe” by different authors in major stone-fruit-growing areas of Europe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and tree decline cause an unacceptable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ESFY in certain regions (Steffek et al., 2012). However ‘Ca. P. prunorum’ is spread in most stone producing areas of Central and Southern Europe, where it has a substantial impact on apricots, Japanese plums and peaches.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prunorum'. In the case of Prunus domestica rootstocks, it should derive from mother plants that have been tested within the previous 5 years and found free from the pest;</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Site of production found free from 'Candidatus Phytoplasma prunorum'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prunorum'.</w:t>
      </w:r>
      <w:r>
        <w:rPr>
          <w:color w:val="0200C9"/>
          <w:sz w:val="24"/>
          <w:szCs w:val="24"/>
        </w:rPr>
        <w:br/>
        <w:br/>
        <w:t xml:space="preserve">Pre-basic, Basic and Certified: 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200C9"/>
          <w:sz w:val="24"/>
          <w:szCs w:val="24"/>
        </w:rPr>
        <w:br/>
        <w:t xml:space="preserve">• Regular testing of mother plants in the case of Prunus domestica rootstocks in which symptoms cannot be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2% failure rate is a mean of proposals submitted within replies to the RNQP Questionnaire. Mother plants of CAC material should be inspected. There is a risk of Prunus spinosa (asymptomatic) being in the environment. Destroying contaminated plants in the immediate vicinity would be useful; however it is difficult to apply for non-quarantine pests. Prunus domestica rootstocks are asymptomatic.</w:t>
      </w:r>
      <w:r>
        <w:rPr>
          <w:color w:val="0200C9"/>
          <w:sz w:val="24"/>
          <w:szCs w:val="24"/>
        </w:rPr>
        <w:br/>
        <w:t xml:space="preserve">Experts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981969b018ce5dba2"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Dermastia M (2011) The most widespread phytoplasmas, vectors and measures for disease control in Slovenia. Phytopathogenic Mollicutes 1: 65- 76. Available at: </w:t>
      </w:r>
      <w:hyperlink r:id="rId444169b018ce5dc1a" w:history="1">
        <w:r>
          <w:rPr>
            <w:color w:val="0200C9"/>
            <w:sz w:val="24"/>
            <w:szCs w:val="24"/>
          </w:rPr>
          <w:t xml:space="preserve">http://www.kmetijskizavod-ng.si/priponke/OVR/fitoplazme_slovenia.pdf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256569b018ce5dc47"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Seljak G, Rot M (2013) Preučevanje bionomije češpljeve bolšice (Cacopsylla pruni) na Primorskem. Zbornik predavanj in referatov 11. slovenskega posvetovanja o varstvu rastlin z mednarodno udeležbo = Lectures and papers presented at the 11th Slovenian Conference on Plant Protection with International Participation, Bled, 5.–6. marec 2013 p.: 89-95. Available at </w:t>
      </w:r>
      <w:hyperlink r:id="rId798469b018ce5dc73" w:history="1">
        <w:r>
          <w:rPr>
            <w:color w:val="0200C9"/>
            <w:sz w:val="24"/>
            <w:szCs w:val="24"/>
          </w:rPr>
          <w:t xml:space="preserve">http://dvrs.bf.uni-lj.si/spvr/2013/17Seljak.pdf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Steffek R, Foliak S, Sauvion N, Labonne G, MacLeod A (2012) Distribution of ‘Candidatus Phytoplasma prunorum’ and its vector Cacopsylla pruni in European fruit-growing areas: a review. EPPO Bulletin 42, 191-202;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187279">
    <w:multiLevelType w:val="hybridMultilevel"/>
    <w:lvl w:ilvl="0" w:tplc="52604791">
      <w:start w:val="1"/>
      <w:numFmt w:val="decimal"/>
      <w:lvlText w:val="%1."/>
      <w:lvlJc w:val="left"/>
      <w:pPr>
        <w:ind w:left="720" w:hanging="360"/>
      </w:pPr>
    </w:lvl>
    <w:lvl w:ilvl="1" w:tplc="52604791" w:tentative="1">
      <w:start w:val="1"/>
      <w:numFmt w:val="lowerLetter"/>
      <w:lvlText w:val="%2."/>
      <w:lvlJc w:val="left"/>
      <w:pPr>
        <w:ind w:left="1440" w:hanging="360"/>
      </w:pPr>
    </w:lvl>
    <w:lvl w:ilvl="2" w:tplc="52604791" w:tentative="1">
      <w:start w:val="1"/>
      <w:numFmt w:val="lowerRoman"/>
      <w:lvlText w:val="%3."/>
      <w:lvlJc w:val="right"/>
      <w:pPr>
        <w:ind w:left="2160" w:hanging="180"/>
      </w:pPr>
    </w:lvl>
    <w:lvl w:ilvl="3" w:tplc="52604791" w:tentative="1">
      <w:start w:val="1"/>
      <w:numFmt w:val="decimal"/>
      <w:lvlText w:val="%4."/>
      <w:lvlJc w:val="left"/>
      <w:pPr>
        <w:ind w:left="2880" w:hanging="360"/>
      </w:pPr>
    </w:lvl>
    <w:lvl w:ilvl="4" w:tplc="52604791" w:tentative="1">
      <w:start w:val="1"/>
      <w:numFmt w:val="lowerLetter"/>
      <w:lvlText w:val="%5."/>
      <w:lvlJc w:val="left"/>
      <w:pPr>
        <w:ind w:left="3600" w:hanging="360"/>
      </w:pPr>
    </w:lvl>
    <w:lvl w:ilvl="5" w:tplc="52604791" w:tentative="1">
      <w:start w:val="1"/>
      <w:numFmt w:val="lowerRoman"/>
      <w:lvlText w:val="%6."/>
      <w:lvlJc w:val="right"/>
      <w:pPr>
        <w:ind w:left="4320" w:hanging="180"/>
      </w:pPr>
    </w:lvl>
    <w:lvl w:ilvl="6" w:tplc="52604791" w:tentative="1">
      <w:start w:val="1"/>
      <w:numFmt w:val="decimal"/>
      <w:lvlText w:val="%7."/>
      <w:lvlJc w:val="left"/>
      <w:pPr>
        <w:ind w:left="5040" w:hanging="360"/>
      </w:pPr>
    </w:lvl>
    <w:lvl w:ilvl="7" w:tplc="52604791" w:tentative="1">
      <w:start w:val="1"/>
      <w:numFmt w:val="lowerLetter"/>
      <w:lvlText w:val="%8."/>
      <w:lvlJc w:val="left"/>
      <w:pPr>
        <w:ind w:left="5760" w:hanging="360"/>
      </w:pPr>
    </w:lvl>
    <w:lvl w:ilvl="8" w:tplc="52604791" w:tentative="1">
      <w:start w:val="1"/>
      <w:numFmt w:val="lowerRoman"/>
      <w:lvlText w:val="%9."/>
      <w:lvlJc w:val="right"/>
      <w:pPr>
        <w:ind w:left="6480" w:hanging="180"/>
      </w:pPr>
    </w:lvl>
  </w:abstractNum>
  <w:abstractNum w:abstractNumId="89187278">
    <w:multiLevelType w:val="hybridMultilevel"/>
    <w:lvl w:ilvl="0" w:tplc="179642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187278">
    <w:abstractNumId w:val="89187278"/>
  </w:num>
  <w:num w:numId="89187279">
    <w:abstractNumId w:val="891872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1886357" Type="http://schemas.microsoft.com/office/2011/relationships/commentsExtended" Target="commentsExtended.xml"/><Relationship Id="rId937169b018ce5d6a2" Type="http://schemas.openxmlformats.org/officeDocument/2006/relationships/hyperlink" Target="https://gd.eppo.int/" TargetMode="External"/><Relationship Id="rId981969b018ce5dba2" Type="http://schemas.openxmlformats.org/officeDocument/2006/relationships/hyperlink" Target="https://www.anses.fr/fr/system/files/SVEG2011sa0137Ra.pdf" TargetMode="External"/><Relationship Id="rId444169b018ce5dc1a" Type="http://schemas.openxmlformats.org/officeDocument/2006/relationships/hyperlink" Target="http://www.kmetijskizavod-ng.si/priponke/OVR/fitoplazme_slovenia.pdf" TargetMode="External"/><Relationship Id="rId256569b018ce5dc47" Type="http://schemas.openxmlformats.org/officeDocument/2006/relationships/hyperlink" Target="http://www.efsa.europa.eu/fr/supporting/doc/319e.pdf" TargetMode="External"/><Relationship Id="rId798469b018ce5dc73" Type="http://schemas.openxmlformats.org/officeDocument/2006/relationships/hyperlink" Target="http://dvrs.bf.uni-lj.si/spvr/2013/17Seljak.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