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A. citrina has been reported in Italy, France and Greece, but its current distribution in EU is not precisely known because of possible confusion with A. aurantii. Southern areas of the EU are climatically suitable for the pest to establish and spread although expected impacts are likely to be minor since IPM programmes targeted at A. aurantii are considered to be effective in controlling A. citrina.</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Fortunella (1FOLG)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host grown as an ornamental is not thought to react differently to fruiting types, so the fruit SEWG information is applicable, as given:</w:t>
      </w:r>
      <w:r>
        <w:rPr>
          <w:color w:val="0200C9"/>
          <w:sz w:val="24"/>
          <w:szCs w:val="24"/>
        </w:rPr>
        <w:b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This host grown as an ornamental is not thought to react differently to fruiting types, so the fruit SEWG information is applicable, as given:</w:t>
      </w:r>
      <w:r>
        <w:rPr>
          <w:color w:val="F30000"/>
          <w:sz w:val="24"/>
          <w:szCs w:val="24"/>
        </w:rPr>
        <w:b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commented that yellow scales (without any distinction between A. aurantii and A. citrina) have significative impacts in a limited number of nurseries in IT. However treatments applied against A. aurantii, the presence of natural enemies in the Citrus orchards, and competition with A. aurantii, are considered to be sufficient to keep the population under control without other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23736632b934aacf3"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620219">
    <w:multiLevelType w:val="hybridMultilevel"/>
    <w:lvl w:ilvl="0" w:tplc="50486066">
      <w:start w:val="1"/>
      <w:numFmt w:val="decimal"/>
      <w:lvlText w:val="%1."/>
      <w:lvlJc w:val="left"/>
      <w:pPr>
        <w:ind w:left="720" w:hanging="360"/>
      </w:pPr>
    </w:lvl>
    <w:lvl w:ilvl="1" w:tplc="50486066" w:tentative="1">
      <w:start w:val="1"/>
      <w:numFmt w:val="lowerLetter"/>
      <w:lvlText w:val="%2."/>
      <w:lvlJc w:val="left"/>
      <w:pPr>
        <w:ind w:left="1440" w:hanging="360"/>
      </w:pPr>
    </w:lvl>
    <w:lvl w:ilvl="2" w:tplc="50486066" w:tentative="1">
      <w:start w:val="1"/>
      <w:numFmt w:val="lowerRoman"/>
      <w:lvlText w:val="%3."/>
      <w:lvlJc w:val="right"/>
      <w:pPr>
        <w:ind w:left="2160" w:hanging="180"/>
      </w:pPr>
    </w:lvl>
    <w:lvl w:ilvl="3" w:tplc="50486066" w:tentative="1">
      <w:start w:val="1"/>
      <w:numFmt w:val="decimal"/>
      <w:lvlText w:val="%4."/>
      <w:lvlJc w:val="left"/>
      <w:pPr>
        <w:ind w:left="2880" w:hanging="360"/>
      </w:pPr>
    </w:lvl>
    <w:lvl w:ilvl="4" w:tplc="50486066" w:tentative="1">
      <w:start w:val="1"/>
      <w:numFmt w:val="lowerLetter"/>
      <w:lvlText w:val="%5."/>
      <w:lvlJc w:val="left"/>
      <w:pPr>
        <w:ind w:left="3600" w:hanging="360"/>
      </w:pPr>
    </w:lvl>
    <w:lvl w:ilvl="5" w:tplc="50486066" w:tentative="1">
      <w:start w:val="1"/>
      <w:numFmt w:val="lowerRoman"/>
      <w:lvlText w:val="%6."/>
      <w:lvlJc w:val="right"/>
      <w:pPr>
        <w:ind w:left="4320" w:hanging="180"/>
      </w:pPr>
    </w:lvl>
    <w:lvl w:ilvl="6" w:tplc="50486066" w:tentative="1">
      <w:start w:val="1"/>
      <w:numFmt w:val="decimal"/>
      <w:lvlText w:val="%7."/>
      <w:lvlJc w:val="left"/>
      <w:pPr>
        <w:ind w:left="5040" w:hanging="360"/>
      </w:pPr>
    </w:lvl>
    <w:lvl w:ilvl="7" w:tplc="50486066" w:tentative="1">
      <w:start w:val="1"/>
      <w:numFmt w:val="lowerLetter"/>
      <w:lvlText w:val="%8."/>
      <w:lvlJc w:val="left"/>
      <w:pPr>
        <w:ind w:left="5760" w:hanging="360"/>
      </w:pPr>
    </w:lvl>
    <w:lvl w:ilvl="8" w:tplc="50486066" w:tentative="1">
      <w:start w:val="1"/>
      <w:numFmt w:val="lowerRoman"/>
      <w:lvlText w:val="%9."/>
      <w:lvlJc w:val="right"/>
      <w:pPr>
        <w:ind w:left="6480" w:hanging="180"/>
      </w:pPr>
    </w:lvl>
  </w:abstractNum>
  <w:abstractNum w:abstractNumId="39620218">
    <w:multiLevelType w:val="hybridMultilevel"/>
    <w:lvl w:ilvl="0" w:tplc="526548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620218">
    <w:abstractNumId w:val="39620218"/>
  </w:num>
  <w:num w:numId="39620219">
    <w:abstractNumId w:val="396202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0046916" Type="http://schemas.microsoft.com/office/2011/relationships/commentsExtended" Target="commentsExtended.xml"/><Relationship Id="rId23736632b934aacf3"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