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Spiroplasma citri SPIRCI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Bacteria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relevant: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relevant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Candidate: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Cyprus (1996); France (2011); France/Corse (2011); Italy (2012); Italy/Sicilia (1991); Italy/Sardegna (1991); Spain (2015)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candidate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Data of the presence of this pest on the EU territory are available in EPPO Global Database (</w:t>
      </w:r>
      <w:hyperlink r:id="rId65896aabbc6e59cad" w:history="1">
        <w:r>
          <w:rPr>
            <w:color w:val="0200C9"/>
            <w:sz w:val="24"/>
            <w:szCs w:val="24"/>
          </w:rPr>
          <w:t xml:space="preserve">https://gd.eppo.int/</w:t>
        </w:r>
      </w:hyperlink>
      <w:r>
        <w:rPr>
          <w:color w:val="0200C9"/>
          <w:sz w:val="24"/>
          <w:szCs w:val="24"/>
        </w:rPr>
        <w:t xml:space="preserve">). The pest is considered to be absent in Europe except in the Mediterranean area, despite the fact that some alternative host plants are largely distributed in Europe (EU COM, 2016).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 </w:t>
      </w:r>
      <w:r>
        <w:rPr>
          <w:color w:val="149613"/>
          <w:sz w:val="24"/>
          <w:szCs w:val="24"/>
        </w:rPr>
        <w:t xml:space="preserve">Poncirus hybrids (PMIHY)</w:t>
      </w:r>
      <w:r>
        <w:rPr>
          <w:color w:val="000000"/>
          <w:sz w:val="24"/>
          <w:szCs w:val="24"/>
        </w:rPr>
        <w:t xml:space="preserve"> for the Fruits (including hops)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Origin of the listing: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IIA2AWG</w:t>
      </w:r>
      <w:r>
        <w:rPr>
          <w:color w:val="000000"/>
          <w:sz w:val="24"/>
          <w:szCs w:val="24"/>
          <w:u w:val="single"/>
        </w:rPr>
        <w:br/>
        <w:t xml:space="preserve">Plants for planting: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Plants intended for planting, other than seeds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3 - Is the pest already listed in a PM4 standard on the concerned host plant?</w:t>
      </w:r>
      <w:r>
        <w:rPr>
          <w:color w:val="000000"/>
          <w:sz w:val="24"/>
          <w:szCs w:val="24"/>
        </w:rPr>
        <w:t xml:space="preserve">
</w:t>
      </w:r>
      <w:r>
        <w:rPr>
          <w:color w:val="149613"/>
          <w:sz w:val="24"/>
          <w:szCs w:val="24"/>
        </w:rPr>
        <w:t xml:space="preserve">Yes</w:t>
      </w:r>
      <w:r>
        <w:rPr>
          <w:color w:val="000000"/>
          <w:sz w:val="24"/>
          <w:szCs w:val="24"/>
        </w:rPr>
        <w:t xml:space="preserve"> 
</w:t>
      </w:r>
      <w:r>
        <w:rPr>
          <w:color w:val="000000"/>
          <w:sz w:val="24"/>
          <w:szCs w:val="24"/>
          <w:u w:val="single"/>
        </w:rPr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149613"/>
          <w:sz w:val="24"/>
          <w:szCs w:val="24"/>
        </w:rPr>
        <w:t xml:space="preserve">Qualified</w:t>
      </w:r>
      <w:r>
        <w:rPr>
          <w:color w:val="000000"/>
          <w:sz w:val="24"/>
          <w:szCs w:val="24"/>
        </w:rPr>
        <w:br/>
        <w:t xml:space="preserve"> 
</w:t>
      </w: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color w:val="149613"/>
          <w:sz w:val="24"/>
          <w:szCs w:val="24"/>
        </w:rPr>
        <w:t xml:space="preserve">Production of certified pathogen-tested trees and rootstocks of Citrus, Poncirus, Fortunella and their hybrids are covered by EPPO PM 4/12 (1) Standard.</w:t>
      </w:r>
      <w:r>
        <w:rPr>
          <w:b/>
          <w:bCs/>
          <w:color w:val="000000"/>
          <w:sz w:val="24"/>
          <w:szCs w:val="24"/>
          <w:u w:val="single"/>
        </w:rPr>
        <w:br/>
        <w:t xml:space="preserve">4 - Are the listed plants for planting the main* pathway for the "pest/host/intended use" combination? (*: significant compared to others):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</w:rPr>
        <w:t xml:space="preserve"> 
</w:t>
      </w:r>
      <w:r>
        <w:rPr>
          <w:color w:val="000000"/>
          <w:sz w:val="24"/>
          <w:szCs w:val="24"/>
          <w:u w:val="single"/>
        </w:rPr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</w:rPr>
        <w:br/>
        <w:t xml:space="preserve"> 
</w:t>
      </w:r>
      <w:r>
        <w:rPr>
          <w:color w:val="000000"/>
          <w:sz w:val="24"/>
          <w:szCs w:val="24"/>
          <w:u w:val="single"/>
        </w:rPr>
        <w:t xml:space="preserve">Justification: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5 - Economic impact:</w:t>
      </w:r>
      <w:r>
        <w:rPr>
          <w:color w:val="000000"/>
          <w:sz w:val="24"/>
          <w:szCs w:val="24"/>
          <w:u w:val="single"/>
        </w:rPr>
        <w:br/>
        <w:t xml:space="preserve">Are there documented reports of any economic impact on the host?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What is the likely economic impact of the pest irrespective of its infestation source in the absence of phytosanitary measures? (= official measures)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the economic impact due to the presence of the pest on the named host plant for planting, acceptable to the propagation and end user sectors concerned?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there unacceptable economic impact caused to other hosts (or the same host with a different intended use) produced at the same place of production due to the transfer of the pest from the named host plant for planting?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6 - Are there feasible and effective measures available to prevent the presence of the pest on the plants for planting at an incidence above a certain threshold (including zero) to avoid an unacceptable economic impact as regards the relevant host plants?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7- Is the quality of the data sufficient to recommend the pest to be listed as a RNQP?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Recommended for listing as an RNQP - based on EPPO PM 4 Standard.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8 - Tolerance level:</w:t>
      </w:r>
      <w:r>
        <w:rPr>
          <w:color w:val="000000"/>
          <w:sz w:val="24"/>
          <w:szCs w:val="24"/>
          <w:u w:val="single"/>
        </w:rPr>
        <w:br/>
        <w:t xml:space="preserve">Is there a need to change the Tolerance level: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</w:t>
      </w:r>
      <w:r>
        <w:rPr>
          <w:color w:val="000000"/>
          <w:sz w:val="24"/>
          <w:szCs w:val="24"/>
          <w:u w:val="single"/>
        </w:rPr>
        <w:br/>
        <w:t xml:space="preserve">Proposed Tolerance levels: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Zero tolerance of symptomatic plants in the marketed material.</w:t>
      </w:r>
      <w:r>
        <w:rPr>
          <w:b/>
          <w:bCs/>
          <w:color w:val="000000"/>
          <w:sz w:val="24"/>
          <w:szCs w:val="24"/>
          <w:u w:val="single"/>
        </w:rPr>
        <w:br/>
        <w:t xml:space="preserve">9 - Risk management measures:</w:t>
      </w:r>
      <w:r>
        <w:rPr>
          <w:color w:val="000000"/>
          <w:sz w:val="24"/>
          <w:szCs w:val="24"/>
          <w:u w:val="single"/>
        </w:rPr>
        <w:br/>
        <w:t xml:space="preserve">Is there a need to change the Risk management measure: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Proposed Risk management measure: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Non-certified material (‘CAC’):</w:t>
      </w:r>
      <w:r>
        <w:rPr>
          <w:color w:val="0200C9"/>
          <w:sz w:val="24"/>
          <w:szCs w:val="24"/>
        </w:rPr>
        <w:br/>
        <w:t xml:space="preserve">(A) Derived from mother plants which have been inspected and found free from Spiroplasma citri;</w:t>
      </w:r>
      <w:r>
        <w:rPr>
          <w:color w:val="0200C9"/>
          <w:sz w:val="24"/>
          <w:szCs w:val="24"/>
        </w:rPr>
        <w:br/>
        <w:t xml:space="preserve">AND</w:t>
      </w:r>
      <w:r>
        <w:rPr>
          <w:color w:val="0200C9"/>
          <w:sz w:val="24"/>
          <w:szCs w:val="24"/>
        </w:rPr>
        <w:br/>
        <w:t xml:space="preserve">(B) (a) Plants produced in areas known to be free from Spiroplasma citri;</w:t>
      </w:r>
      <w:r>
        <w:rPr>
          <w:color w:val="0200C9"/>
          <w:sz w:val="24"/>
          <w:szCs w:val="24"/>
        </w:rPr>
        <w:br/>
        <w:t xml:space="preserve">or</w:t>
      </w:r>
      <w:r>
        <w:rPr>
          <w:color w:val="0200C9"/>
          <w:sz w:val="24"/>
          <w:szCs w:val="24"/>
        </w:rPr>
        <w:br/>
        <w:t xml:space="preserve">(b) Site of production found free from Spiroplasma citri over the last complete growing season by visual inspection of the plants at the appropriate time during the last growing season;</w:t>
      </w:r>
      <w:r>
        <w:rPr>
          <w:color w:val="0200C9"/>
          <w:sz w:val="24"/>
          <w:szCs w:val="24"/>
        </w:rPr>
        <w:br/>
        <w:t xml:space="preserve">or</w:t>
      </w:r>
      <w:r>
        <w:rPr>
          <w:color w:val="0200C9"/>
          <w:sz w:val="24"/>
          <w:szCs w:val="24"/>
        </w:rPr>
        <w:br/>
        <w:t xml:space="preserve">(c) Not more than 2% of plants showing symptoms during an inspection at the appropriate time during the last growing season and those plants have been rogued out and destroyed immediately.</w:t>
      </w:r>
      <w:r>
        <w:rPr>
          <w:color w:val="0200C9"/>
          <w:sz w:val="24"/>
          <w:szCs w:val="24"/>
        </w:rPr>
        <w:br/>
        <w:br/>
        <w:t xml:space="preserve">Pre-basic, basic and certified material, additional measures to be considered include:</w:t>
      </w:r>
      <w:r>
        <w:rPr>
          <w:color w:val="0200C9"/>
          <w:sz w:val="24"/>
          <w:szCs w:val="24"/>
        </w:rPr>
        <w:br/>
        <w:t xml:space="preserve">• Visual inspection of mother plants;</w:t>
      </w:r>
      <w:r>
        <w:rPr>
          <w:color w:val="0200C9"/>
          <w:sz w:val="24"/>
          <w:szCs w:val="24"/>
        </w:rPr>
        <w:br/>
        <w:t xml:space="preserve">• Measures to control the vector or reduce transmission;</w:t>
      </w:r>
      <w:r>
        <w:rPr>
          <w:color w:val="0200C9"/>
          <w:sz w:val="24"/>
          <w:szCs w:val="24"/>
        </w:rPr>
        <w:br/>
        <w:t xml:space="preserve">• Physical protection of mother plants;</w:t>
      </w:r>
      <w:r>
        <w:rPr>
          <w:color w:val="0200C9"/>
          <w:sz w:val="24"/>
          <w:szCs w:val="24"/>
        </w:rPr>
        <w:br/>
        <w:t xml:space="preserve">• Testing of mother plants.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REFERENCES: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EFSA Panel on Plant Health (PLH) (2014) Scientific Opinion on pest categorisation of Spiroplasma citri. EFSA Journal 2014;12(12):3925, 29 pp. doi:10.2903/j.efsa.2014.3925 </w:t>
      </w:r>
      <w:hyperlink r:id="rId11576aabbc6e5a16b" w:history="1">
        <w:r>
          <w:rPr>
            <w:color w:val="0200C9"/>
            <w:sz w:val="24"/>
            <w:szCs w:val="24"/>
          </w:rPr>
          <w:t xml:space="preserve">http://www.efsa.europa.eu/en/efsajournal/doc/3925.pdf</w:t>
        </w:r>
      </w:hyperlink>
      <w:r>
        <w:rPr>
          <w:color w:val="0200C9"/>
          <w:sz w:val="24"/>
          <w:szCs w:val="24"/>
        </w:rPr>
        <w:t xml:space="preserve">;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EPPO (2008) Certification scheme for strawberry. Bulletin OEPP/EPPO Bulletin 38, 430–437;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EU COM (2016) Recommendation of the Working Group on the Annexes of the Council Directive 2000/29/EC – Section II – Listing of Harmful Organisms as regards the future listing of Spiroplasma citri Saglio et al.;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2624896">
    <w:multiLevelType w:val="hybridMultilevel"/>
    <w:lvl w:ilvl="0" w:tplc="29812524">
      <w:start w:val="1"/>
      <w:numFmt w:val="decimal"/>
      <w:lvlText w:val="%1."/>
      <w:lvlJc w:val="left"/>
      <w:pPr>
        <w:ind w:left="720" w:hanging="360"/>
      </w:pPr>
    </w:lvl>
    <w:lvl w:ilvl="1" w:tplc="29812524" w:tentative="1">
      <w:start w:val="1"/>
      <w:numFmt w:val="lowerLetter"/>
      <w:lvlText w:val="%2."/>
      <w:lvlJc w:val="left"/>
      <w:pPr>
        <w:ind w:left="1440" w:hanging="360"/>
      </w:pPr>
    </w:lvl>
    <w:lvl w:ilvl="2" w:tplc="29812524" w:tentative="1">
      <w:start w:val="1"/>
      <w:numFmt w:val="lowerRoman"/>
      <w:lvlText w:val="%3."/>
      <w:lvlJc w:val="right"/>
      <w:pPr>
        <w:ind w:left="2160" w:hanging="180"/>
      </w:pPr>
    </w:lvl>
    <w:lvl w:ilvl="3" w:tplc="29812524" w:tentative="1">
      <w:start w:val="1"/>
      <w:numFmt w:val="decimal"/>
      <w:lvlText w:val="%4."/>
      <w:lvlJc w:val="left"/>
      <w:pPr>
        <w:ind w:left="2880" w:hanging="360"/>
      </w:pPr>
    </w:lvl>
    <w:lvl w:ilvl="4" w:tplc="29812524" w:tentative="1">
      <w:start w:val="1"/>
      <w:numFmt w:val="lowerLetter"/>
      <w:lvlText w:val="%5."/>
      <w:lvlJc w:val="left"/>
      <w:pPr>
        <w:ind w:left="3600" w:hanging="360"/>
      </w:pPr>
    </w:lvl>
    <w:lvl w:ilvl="5" w:tplc="29812524" w:tentative="1">
      <w:start w:val="1"/>
      <w:numFmt w:val="lowerRoman"/>
      <w:lvlText w:val="%6."/>
      <w:lvlJc w:val="right"/>
      <w:pPr>
        <w:ind w:left="4320" w:hanging="180"/>
      </w:pPr>
    </w:lvl>
    <w:lvl w:ilvl="6" w:tplc="29812524" w:tentative="1">
      <w:start w:val="1"/>
      <w:numFmt w:val="decimal"/>
      <w:lvlText w:val="%7."/>
      <w:lvlJc w:val="left"/>
      <w:pPr>
        <w:ind w:left="5040" w:hanging="360"/>
      </w:pPr>
    </w:lvl>
    <w:lvl w:ilvl="7" w:tplc="29812524" w:tentative="1">
      <w:start w:val="1"/>
      <w:numFmt w:val="lowerLetter"/>
      <w:lvlText w:val="%8."/>
      <w:lvlJc w:val="left"/>
      <w:pPr>
        <w:ind w:left="5760" w:hanging="360"/>
      </w:pPr>
    </w:lvl>
    <w:lvl w:ilvl="8" w:tplc="2981252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2624895">
    <w:multiLevelType w:val="hybridMultilevel"/>
    <w:lvl w:ilvl="0" w:tplc="1019474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2624895">
    <w:abstractNumId w:val="62624895"/>
  </w:num>
  <w:num w:numId="62624896">
    <w:abstractNumId w:val="6262489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720359217" Type="http://schemas.microsoft.com/office/2011/relationships/commentsExtended" Target="commentsExtended.xml"/><Relationship Id="rId65896aabbc6e59cad" Type="http://schemas.openxmlformats.org/officeDocument/2006/relationships/hyperlink" Target="https://gd.eppo.int/" TargetMode="External"/><Relationship Id="rId11576aabbc6e5a16b" Type="http://schemas.openxmlformats.org/officeDocument/2006/relationships/hyperlink" Target="http://www.efsa.europa.eu/en/efsajournal/doc/3925.pdf" TargetMode="Externa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