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SPIRCI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786a32a6dea97a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Fortunella hybrids (FOLHY)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58906a32a6dea9adb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156065">
    <w:multiLevelType w:val="hybridMultilevel"/>
    <w:lvl w:ilvl="0" w:tplc="31860764">
      <w:start w:val="1"/>
      <w:numFmt w:val="decimal"/>
      <w:lvlText w:val="%1."/>
      <w:lvlJc w:val="left"/>
      <w:pPr>
        <w:ind w:left="720" w:hanging="360"/>
      </w:pPr>
    </w:lvl>
    <w:lvl w:ilvl="1" w:tplc="31860764" w:tentative="1">
      <w:start w:val="1"/>
      <w:numFmt w:val="lowerLetter"/>
      <w:lvlText w:val="%2."/>
      <w:lvlJc w:val="left"/>
      <w:pPr>
        <w:ind w:left="1440" w:hanging="360"/>
      </w:pPr>
    </w:lvl>
    <w:lvl w:ilvl="2" w:tplc="31860764" w:tentative="1">
      <w:start w:val="1"/>
      <w:numFmt w:val="lowerRoman"/>
      <w:lvlText w:val="%3."/>
      <w:lvlJc w:val="right"/>
      <w:pPr>
        <w:ind w:left="2160" w:hanging="180"/>
      </w:pPr>
    </w:lvl>
    <w:lvl w:ilvl="3" w:tplc="31860764" w:tentative="1">
      <w:start w:val="1"/>
      <w:numFmt w:val="decimal"/>
      <w:lvlText w:val="%4."/>
      <w:lvlJc w:val="left"/>
      <w:pPr>
        <w:ind w:left="2880" w:hanging="360"/>
      </w:pPr>
    </w:lvl>
    <w:lvl w:ilvl="4" w:tplc="31860764" w:tentative="1">
      <w:start w:val="1"/>
      <w:numFmt w:val="lowerLetter"/>
      <w:lvlText w:val="%5."/>
      <w:lvlJc w:val="left"/>
      <w:pPr>
        <w:ind w:left="3600" w:hanging="360"/>
      </w:pPr>
    </w:lvl>
    <w:lvl w:ilvl="5" w:tplc="31860764" w:tentative="1">
      <w:start w:val="1"/>
      <w:numFmt w:val="lowerRoman"/>
      <w:lvlText w:val="%6."/>
      <w:lvlJc w:val="right"/>
      <w:pPr>
        <w:ind w:left="4320" w:hanging="180"/>
      </w:pPr>
    </w:lvl>
    <w:lvl w:ilvl="6" w:tplc="31860764" w:tentative="1">
      <w:start w:val="1"/>
      <w:numFmt w:val="decimal"/>
      <w:lvlText w:val="%7."/>
      <w:lvlJc w:val="left"/>
      <w:pPr>
        <w:ind w:left="5040" w:hanging="360"/>
      </w:pPr>
    </w:lvl>
    <w:lvl w:ilvl="7" w:tplc="31860764" w:tentative="1">
      <w:start w:val="1"/>
      <w:numFmt w:val="lowerLetter"/>
      <w:lvlText w:val="%8."/>
      <w:lvlJc w:val="left"/>
      <w:pPr>
        <w:ind w:left="5760" w:hanging="360"/>
      </w:pPr>
    </w:lvl>
    <w:lvl w:ilvl="8" w:tplc="31860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56064">
    <w:multiLevelType w:val="hybridMultilevel"/>
    <w:lvl w:ilvl="0" w:tplc="307728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156064">
    <w:abstractNumId w:val="12156064"/>
  </w:num>
  <w:num w:numId="12156065">
    <w:abstractNumId w:val="121560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1918153" Type="http://schemas.microsoft.com/office/2011/relationships/commentsExtended" Target="commentsExtended.xml"/><Relationship Id="rId53786a32a6dea97a8" Type="http://schemas.openxmlformats.org/officeDocument/2006/relationships/hyperlink" Target="https://gd.eppo.int/" TargetMode="External"/><Relationship Id="rId58906a32a6dea9adb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