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275662be6979923a"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Pyracantha (1PYEG)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main risk of introduction and spread of fire blight over medium and long distances is through plant material contaminated with E. amylovora, and mainly through plant nursery materials, because the pathogen can live as an epiphyte or an endophyte in buds and shoots. Once infections have taken place, rain and wind (especially thunderstorms) play an important role in the transport of inoculum over short distances and probably also over medium to long distances (aero currents). Insect pollinators are efficient carriers over short and medium distances. Workers in orchards can serve as an efficient system of disseminating E. amylovora, especially over short to medium distances, by means of hands, clothing, pruning and spraying tools (EFSA PLH, 2014). To conclude, if the pest is present on the plants for planting, it may be easily spread over the place of production and no curative measure will be available. Taking preventive measures into account (e.g. spraying of copper compounds), plants for planting are considered to be a significant pathway compared to others. It is justified to regulate this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Many publications list the genera as an ornamental host of E. amylovora and it can have quite severe effects on this host depending on variety and climatic conditions. Within the ornamental and wild plants, the majority of Pyracantha species are generally very susceptible and Pyracantha cultivars can maintain epidemics between periods of disease attack on fruit production host plants (EFSA PLH, 2014). Remark: Losses are more important on pear, apple and quince (EFSA PLH, 2014). Whatever the direct economic impacts on this host, E. amylovora can have indirect unacceptable economic impacts on Malus and Pyrus plants for planting.</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Existing control is mainly based on prevention and exclusion. The use of chemical or biological products can prevent infection, and sanitation methods applied to infected plants can control the disease to a certain extent. No curative chemical control agents are available to eradicate E. amylovora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and its indirect unacceptable economic impact on Malus, Pyrus and Cydonia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8004662be697996fb"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88227">
    <w:multiLevelType w:val="hybridMultilevel"/>
    <w:lvl w:ilvl="0" w:tplc="91197320">
      <w:start w:val="1"/>
      <w:numFmt w:val="decimal"/>
      <w:lvlText w:val="%1."/>
      <w:lvlJc w:val="left"/>
      <w:pPr>
        <w:ind w:left="720" w:hanging="360"/>
      </w:pPr>
    </w:lvl>
    <w:lvl w:ilvl="1" w:tplc="91197320" w:tentative="1">
      <w:start w:val="1"/>
      <w:numFmt w:val="lowerLetter"/>
      <w:lvlText w:val="%2."/>
      <w:lvlJc w:val="left"/>
      <w:pPr>
        <w:ind w:left="1440" w:hanging="360"/>
      </w:pPr>
    </w:lvl>
    <w:lvl w:ilvl="2" w:tplc="91197320" w:tentative="1">
      <w:start w:val="1"/>
      <w:numFmt w:val="lowerRoman"/>
      <w:lvlText w:val="%3."/>
      <w:lvlJc w:val="right"/>
      <w:pPr>
        <w:ind w:left="2160" w:hanging="180"/>
      </w:pPr>
    </w:lvl>
    <w:lvl w:ilvl="3" w:tplc="91197320" w:tentative="1">
      <w:start w:val="1"/>
      <w:numFmt w:val="decimal"/>
      <w:lvlText w:val="%4."/>
      <w:lvlJc w:val="left"/>
      <w:pPr>
        <w:ind w:left="2880" w:hanging="360"/>
      </w:pPr>
    </w:lvl>
    <w:lvl w:ilvl="4" w:tplc="91197320" w:tentative="1">
      <w:start w:val="1"/>
      <w:numFmt w:val="lowerLetter"/>
      <w:lvlText w:val="%5."/>
      <w:lvlJc w:val="left"/>
      <w:pPr>
        <w:ind w:left="3600" w:hanging="360"/>
      </w:pPr>
    </w:lvl>
    <w:lvl w:ilvl="5" w:tplc="91197320" w:tentative="1">
      <w:start w:val="1"/>
      <w:numFmt w:val="lowerRoman"/>
      <w:lvlText w:val="%6."/>
      <w:lvlJc w:val="right"/>
      <w:pPr>
        <w:ind w:left="4320" w:hanging="180"/>
      </w:pPr>
    </w:lvl>
    <w:lvl w:ilvl="6" w:tplc="91197320" w:tentative="1">
      <w:start w:val="1"/>
      <w:numFmt w:val="decimal"/>
      <w:lvlText w:val="%7."/>
      <w:lvlJc w:val="left"/>
      <w:pPr>
        <w:ind w:left="5040" w:hanging="360"/>
      </w:pPr>
    </w:lvl>
    <w:lvl w:ilvl="7" w:tplc="91197320" w:tentative="1">
      <w:start w:val="1"/>
      <w:numFmt w:val="lowerLetter"/>
      <w:lvlText w:val="%8."/>
      <w:lvlJc w:val="left"/>
      <w:pPr>
        <w:ind w:left="5760" w:hanging="360"/>
      </w:pPr>
    </w:lvl>
    <w:lvl w:ilvl="8" w:tplc="91197320" w:tentative="1">
      <w:start w:val="1"/>
      <w:numFmt w:val="lowerRoman"/>
      <w:lvlText w:val="%9."/>
      <w:lvlJc w:val="right"/>
      <w:pPr>
        <w:ind w:left="6480" w:hanging="180"/>
      </w:pPr>
    </w:lvl>
  </w:abstractNum>
  <w:abstractNum w:abstractNumId="38588226">
    <w:multiLevelType w:val="hybridMultilevel"/>
    <w:lvl w:ilvl="0" w:tplc="52767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88226">
    <w:abstractNumId w:val="38588226"/>
  </w:num>
  <w:num w:numId="38588227">
    <w:abstractNumId w:val="385882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7280610" Type="http://schemas.microsoft.com/office/2011/relationships/commentsExtended" Target="commentsExtended.xml"/><Relationship Id="rId6275662be6979923a" Type="http://schemas.openxmlformats.org/officeDocument/2006/relationships/hyperlink" Target="https://gd.eppo.int/" TargetMode="External"/><Relationship Id="rId8004662be697996fb"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