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Erwinia amylovora (ERWIAM)</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Bacteria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Ornamental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Fire blight has been described in nearly 200 plant species, mostly within the family Rosaceae, and within the subfamily Maloideae. The most frequent host genera are Chaenomeles, Cotoneaster, Crataegus, Cydonia, Eriobotrya, Malus, Mespilus, Pyrus, Photinia, Pyracantha, Sorbus and Stranvaesia (EFSA PLH, 2014). This is justified to continue the evaluation of E. amylovora on host plants listed at the genus level.</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(2014); Belgium (2015); Bulgaria (2012); Croatia (2007); Cyprus (1990); Czech Republic (2013); Denmark (1987); Estonia (2013); Finland (2014); France (2011); Germany (2013); Greece (2000); Greece/Kriti (1990); Hungary (2012); Ireland (2010); Italy (2013); Italy/Sicilia (1992); Latvia (2014); Lithuania (2010); Luxembourg (1984); Netherlands (2015); Poland (2001); Romania (2011); Slovakia (2005); Slovenia (2003); Spain (2016); Sweden (2008); United Kingdom (2014); United Kingdom/England (2014); United Kingdom/Northern Ireland (2014); United Kingdom/Scotland (2014)</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986267f0c52f21db1" w:history="1">
        <w:r>
          <w:rPr>
            <w:color w:val="0200C9"/>
            <w:sz w:val="24"/>
            <w:szCs w:val="24"/>
          </w:rPr>
          <w:t xml:space="preserve">https://gd.eppo.int/</w:t>
        </w:r>
      </w:hyperlink>
      <w:r>
        <w:rPr>
          <w:color w:val="0200C9"/>
          <w:sz w:val="24"/>
          <w:szCs w:val="24"/>
        </w:rPr>
        <w:t xml:space="preserv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Pyracantha (1PYEG)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main risk of introduction and spread of fire blight over medium and long distances is through plant material contaminated with E. amylovora, and mainly through plant nursery materials, because the pathogen can live as an epiphyte or an endophyte in buds and shoots. Once infections have taken place, rain and wind (especially thunderstorms) play an important role in the transport of inoculum over short distances and probably also over medium to long distances (aero currents). Insect pollinators are efficient carriers over short and medium distances. Workers in orchards can serve as an efficient system of disseminating E. amylovora, especially over short to medium distances, by means of hands, clothing, pruning and spraying tools (EFSA PLH, 2014). To conclude, if the pest is present on the plants for planting, it may be easily spread over the place of production and no curative measure will be available. Taking preventive measures into account (e.g. spraying of copper compounds), plants for planting are considered to be a significant pathway compared to others. It is justified to regulate this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Many publications list the genera as an ornamental host of E. amylovora and it can have quite severe effects on this host depending on variety and climatic conditions. Within the ornamental and wild plants, the majority of Pyracantha species are generally very susceptible and Pyracantha cultivars can maintain epidemics between periods of disease attack on fruit production host plants (EFSA PLH, 2014). Remark: Losses are more important on pear, apple and quince (EFSA PLH, 2014). Whatever the direct economic impacts on this host, E. amylovora can have indirect unacceptable economic impacts on Malus and Pyrus plants for planting.</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Existing control is mainly based on prevention and exclusion. The use of chemical or biological products can prevent infection, and sanitation methods applied to infected plants can control the disease to a certain extent. No curative chemical control agents are available to eradicate E. amylovora (EFSA, 2014).</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 and its indirect unacceptable economic impact on Malus, Pyrus and Cydonia plants for planting.</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Plants grown in buffer zones for passporting for movement into the protected zone, if this measure is maintained, would meet the requirements of either the first or the second option for movements within the rest of the EU.</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916967f0c52f221f5"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0638719">
    <w:multiLevelType w:val="hybridMultilevel"/>
    <w:lvl w:ilvl="0" w:tplc="49935764">
      <w:start w:val="1"/>
      <w:numFmt w:val="decimal"/>
      <w:lvlText w:val="%1."/>
      <w:lvlJc w:val="left"/>
      <w:pPr>
        <w:ind w:left="720" w:hanging="360"/>
      </w:pPr>
    </w:lvl>
    <w:lvl w:ilvl="1" w:tplc="49935764" w:tentative="1">
      <w:start w:val="1"/>
      <w:numFmt w:val="lowerLetter"/>
      <w:lvlText w:val="%2."/>
      <w:lvlJc w:val="left"/>
      <w:pPr>
        <w:ind w:left="1440" w:hanging="360"/>
      </w:pPr>
    </w:lvl>
    <w:lvl w:ilvl="2" w:tplc="49935764" w:tentative="1">
      <w:start w:val="1"/>
      <w:numFmt w:val="lowerRoman"/>
      <w:lvlText w:val="%3."/>
      <w:lvlJc w:val="right"/>
      <w:pPr>
        <w:ind w:left="2160" w:hanging="180"/>
      </w:pPr>
    </w:lvl>
    <w:lvl w:ilvl="3" w:tplc="49935764" w:tentative="1">
      <w:start w:val="1"/>
      <w:numFmt w:val="decimal"/>
      <w:lvlText w:val="%4."/>
      <w:lvlJc w:val="left"/>
      <w:pPr>
        <w:ind w:left="2880" w:hanging="360"/>
      </w:pPr>
    </w:lvl>
    <w:lvl w:ilvl="4" w:tplc="49935764" w:tentative="1">
      <w:start w:val="1"/>
      <w:numFmt w:val="lowerLetter"/>
      <w:lvlText w:val="%5."/>
      <w:lvlJc w:val="left"/>
      <w:pPr>
        <w:ind w:left="3600" w:hanging="360"/>
      </w:pPr>
    </w:lvl>
    <w:lvl w:ilvl="5" w:tplc="49935764" w:tentative="1">
      <w:start w:val="1"/>
      <w:numFmt w:val="lowerRoman"/>
      <w:lvlText w:val="%6."/>
      <w:lvlJc w:val="right"/>
      <w:pPr>
        <w:ind w:left="4320" w:hanging="180"/>
      </w:pPr>
    </w:lvl>
    <w:lvl w:ilvl="6" w:tplc="49935764" w:tentative="1">
      <w:start w:val="1"/>
      <w:numFmt w:val="decimal"/>
      <w:lvlText w:val="%7."/>
      <w:lvlJc w:val="left"/>
      <w:pPr>
        <w:ind w:left="5040" w:hanging="360"/>
      </w:pPr>
    </w:lvl>
    <w:lvl w:ilvl="7" w:tplc="49935764" w:tentative="1">
      <w:start w:val="1"/>
      <w:numFmt w:val="lowerLetter"/>
      <w:lvlText w:val="%8."/>
      <w:lvlJc w:val="left"/>
      <w:pPr>
        <w:ind w:left="5760" w:hanging="360"/>
      </w:pPr>
    </w:lvl>
    <w:lvl w:ilvl="8" w:tplc="49935764" w:tentative="1">
      <w:start w:val="1"/>
      <w:numFmt w:val="lowerRoman"/>
      <w:lvlText w:val="%9."/>
      <w:lvlJc w:val="right"/>
      <w:pPr>
        <w:ind w:left="6480" w:hanging="180"/>
      </w:pPr>
    </w:lvl>
  </w:abstractNum>
  <w:abstractNum w:abstractNumId="60638718">
    <w:multiLevelType w:val="hybridMultilevel"/>
    <w:lvl w:ilvl="0" w:tplc="24245293">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0638718">
    <w:abstractNumId w:val="60638718"/>
  </w:num>
  <w:num w:numId="60638719">
    <w:abstractNumId w:val="606387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80031240" Type="http://schemas.microsoft.com/office/2011/relationships/commentsExtended" Target="commentsExtended.xml"/><Relationship Id="rId986267f0c52f21db1" Type="http://schemas.openxmlformats.org/officeDocument/2006/relationships/hyperlink" Target="https://gd.eppo.int/" TargetMode="External"/><Relationship Id="rId916967f0c52f221f5" Type="http://schemas.openxmlformats.org/officeDocument/2006/relationships/hyperlink" Target="http://www.efsa.europa.eu/en/efsajournal/doc/3922.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