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1846a8d0b4a51e2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Photinia davidiana (STVDA)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risk of introduction and spread of fire blight over medium and long distances is through plant material contaminated with E. amylovora, and mainly through plant nursery materials, because the pathogen can live as an epiphyte or an endophyte in buds and shoots. Once infections have taken place, rain and wind (especially thunderstorms) play an important role in the transport of inoculum over short distances and probably also over medium to long distances (aero currents). Insect pollinators are efficient carriers over short and medium distances. Workers in orchards can serve as an efficient system of disseminating E. amylovora, especially over short to medium distances, by means of hands, clothing, pruning and spraying tools (EFSA PLH, 2014). To conclude, if the pest is present on the plants for planting, it may be easily spread over the place of production and no curative measure will be available. Taking preventive measures into account (e.g. spraying of copper compounds), plants for planting are considered to be a significant pathway compared to others. It is justified to regulate this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Many publications list the genera as an ornamental host of E. amylovora. Most of the literature found are confirmations of pest status of Photinia davidiana. Losses are more important on pear, apple and quince (EFSA PLH, 2014). Whatever the direct economic impacts on this host, E. amylovora can have indirect unacceptable economic impacts on Malus and Pyrus plants for planting.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uncertainties about the direct economic impact. However the indirect economic impact is considered as not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and its indirect unacceptable economic impact on Malus, Pyrus and Cydonia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83726a8d0b4a522d5"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822069">
    <w:multiLevelType w:val="hybridMultilevel"/>
    <w:lvl w:ilvl="0" w:tplc="33086245">
      <w:start w:val="1"/>
      <w:numFmt w:val="decimal"/>
      <w:lvlText w:val="%1."/>
      <w:lvlJc w:val="left"/>
      <w:pPr>
        <w:ind w:left="720" w:hanging="360"/>
      </w:pPr>
    </w:lvl>
    <w:lvl w:ilvl="1" w:tplc="33086245" w:tentative="1">
      <w:start w:val="1"/>
      <w:numFmt w:val="lowerLetter"/>
      <w:lvlText w:val="%2."/>
      <w:lvlJc w:val="left"/>
      <w:pPr>
        <w:ind w:left="1440" w:hanging="360"/>
      </w:pPr>
    </w:lvl>
    <w:lvl w:ilvl="2" w:tplc="33086245" w:tentative="1">
      <w:start w:val="1"/>
      <w:numFmt w:val="lowerRoman"/>
      <w:lvlText w:val="%3."/>
      <w:lvlJc w:val="right"/>
      <w:pPr>
        <w:ind w:left="2160" w:hanging="180"/>
      </w:pPr>
    </w:lvl>
    <w:lvl w:ilvl="3" w:tplc="33086245" w:tentative="1">
      <w:start w:val="1"/>
      <w:numFmt w:val="decimal"/>
      <w:lvlText w:val="%4."/>
      <w:lvlJc w:val="left"/>
      <w:pPr>
        <w:ind w:left="2880" w:hanging="360"/>
      </w:pPr>
    </w:lvl>
    <w:lvl w:ilvl="4" w:tplc="33086245" w:tentative="1">
      <w:start w:val="1"/>
      <w:numFmt w:val="lowerLetter"/>
      <w:lvlText w:val="%5."/>
      <w:lvlJc w:val="left"/>
      <w:pPr>
        <w:ind w:left="3600" w:hanging="360"/>
      </w:pPr>
    </w:lvl>
    <w:lvl w:ilvl="5" w:tplc="33086245" w:tentative="1">
      <w:start w:val="1"/>
      <w:numFmt w:val="lowerRoman"/>
      <w:lvlText w:val="%6."/>
      <w:lvlJc w:val="right"/>
      <w:pPr>
        <w:ind w:left="4320" w:hanging="180"/>
      </w:pPr>
    </w:lvl>
    <w:lvl w:ilvl="6" w:tplc="33086245" w:tentative="1">
      <w:start w:val="1"/>
      <w:numFmt w:val="decimal"/>
      <w:lvlText w:val="%7."/>
      <w:lvlJc w:val="left"/>
      <w:pPr>
        <w:ind w:left="5040" w:hanging="360"/>
      </w:pPr>
    </w:lvl>
    <w:lvl w:ilvl="7" w:tplc="33086245" w:tentative="1">
      <w:start w:val="1"/>
      <w:numFmt w:val="lowerLetter"/>
      <w:lvlText w:val="%8."/>
      <w:lvlJc w:val="left"/>
      <w:pPr>
        <w:ind w:left="5760" w:hanging="360"/>
      </w:pPr>
    </w:lvl>
    <w:lvl w:ilvl="8" w:tplc="33086245" w:tentative="1">
      <w:start w:val="1"/>
      <w:numFmt w:val="lowerRoman"/>
      <w:lvlText w:val="%9."/>
      <w:lvlJc w:val="right"/>
      <w:pPr>
        <w:ind w:left="6480" w:hanging="180"/>
      </w:pPr>
    </w:lvl>
  </w:abstractNum>
  <w:abstractNum w:abstractNumId="47822068">
    <w:multiLevelType w:val="hybridMultilevel"/>
    <w:lvl w:ilvl="0" w:tplc="623561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822068">
    <w:abstractNumId w:val="47822068"/>
  </w:num>
  <w:num w:numId="47822069">
    <w:abstractNumId w:val="478220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6025036" Type="http://schemas.microsoft.com/office/2011/relationships/commentsExtended" Target="commentsExtended.xml"/><Relationship Id="rId81846a8d0b4a51e26" Type="http://schemas.openxmlformats.org/officeDocument/2006/relationships/hyperlink" Target="https://gd.eppo.int/" TargetMode="External"/><Relationship Id="rId83726a8d0b4a522d5"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