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Erwinia amylovora (ERWIAM)</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Fire blight has been described in nearly 200 plant species, mostly within the family Rosaceae, and within the subfamily Maloideae. The most frequent host genera are Chaenomeles, Cotoneaster, Crataegus, Cydonia, Eriobotrya, Malus, Mespilus, Pyrus, Photinia, Pyracantha, Sorbus and Stranvaesia (EFSA PLH, 2014). This is justified to continue the evaluation of E. amylovora on host plants listed at the genus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(2012); Croatia (2007); Cyprus (1990); Czech Republic (2013); Denmark (1987); Estonia (2013); Finland (2014); France (2011); Germany (2013); Greece (2000); Greece/Kriti (1990); Hungary (2012); Ireland (2010); Italy (2013); Italy/Sicilia (1992); Latvia (2014); Lithuania (2010); Luxembourg (1984); Netherlands (2015); Poland (2001); Romania (2011); Slovakia (2005); Slovenia (2003); Spain (2016); Sweden (2008); United Kingdom (2014); United Kingdom/England (2014); United Kingdom/Northern Ireland (2014); United Kingdom/Scotland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7886620cbcbec7c1"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Photinia davidiana (STVDA)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main risk of introduction and spread of fire blight over medium and long distances is through plant material contaminated with E. amylovora, and mainly through plant nursery materials, because the pathogen can live as an epiphyte or an endophyte in buds and shoots. Once infections have taken place, rain and wind (especially thunderstorms) play an important role in the transport of inoculum over short distances and probably also over medium to long distances (aero currents). Insect pollinators are efficient carriers over short and medium distances. Workers in orchards can serve as an efficient system of disseminating E. amylovora, especially over short to medium distances, by means of hands, clothing, pruning and spraying tools (EFSA PLH, 2014). To conclude, if the pest is present on the plants for planting, it may be easily spread over the place of production and no curative measure will be available. Taking preventive measures into account (e.g. spraying of copper compounds), plants for planting are considered to be a significant pathway compared to others. It is justified to regulate this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No</w:t>
      </w:r>
      <w:r>
        <w:rPr>
          <w:color w:val="000000"/>
          <w:sz w:val="24"/>
          <w:szCs w:val="24"/>
          <w:u w:val="single"/>
        </w:rPr>
        <w:br/>
        <w:t xml:space="preserve">Justification:</w:t>
      </w:r>
      <w:r>
        <w:rPr>
          <w:color w:val="000000"/>
          <w:sz w:val="24"/>
          <w:szCs w:val="24"/>
        </w:rPr>
        <w:t xml:space="preserve">
</w:t>
      </w:r>
      <w:r>
        <w:rPr>
          <w:color w:val="0200C9"/>
          <w:sz w:val="24"/>
          <w:szCs w:val="24"/>
        </w:rPr>
        <w:t xml:space="preserve">Many publications list the genera as an ornamental host of E. amylovora. Most of the literature found are confirmations of pest status of Photinia davidiana. Losses are more important on pear, apple and quince (EFSA PLH, 2014). Whatever the direct economic impacts on this host, E. amylovora can have indirect unacceptable economic impacts on Malus and Pyrus plants for planting.</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are uncertainties about the direct economic impact. However the indirect economic impact is considered as not acceptable.</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Existing control is mainly based on prevention and exclusion. The use of chemical or biological products can prevent infection, and sanitation methods applied to infected plants can control the disease to a certain extent. No curative chemical control agents are available to eradicate E. amylovora (EFSA, 2014).</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and its indirect unacceptable economic impact on Malus, Pyrus and Cydonia plants for planting.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The proposed measures are without prejudice to additional measures needed to provide the appropriate level of assurance in relation to plants moving into the protected zone or other areas where Erwinia amylovora is recognised as a quarantine organism:</w:t>
      </w:r>
      <w:r>
        <w:rPr>
          <w:color w:val="0200C9"/>
          <w:sz w:val="24"/>
          <w:szCs w:val="24"/>
        </w:rPr>
        <w:br/>
        <w:t xml:space="preserve">(a) Plants produced in areas known to be free from Erwinia amylovora;</w:t>
      </w:r>
      <w:r>
        <w:rPr>
          <w:color w:val="0200C9"/>
          <w:sz w:val="24"/>
          <w:szCs w:val="24"/>
        </w:rPr>
        <w:br/>
        <w:t xml:space="preserve">or</w:t>
      </w:r>
      <w:r>
        <w:rPr>
          <w:color w:val="0200C9"/>
          <w:sz w:val="24"/>
          <w:szCs w:val="24"/>
        </w:rPr>
        <w:br/>
        <w:t xml:space="preserve">(b) The production site has been inspected at an appropriate time during the last growing season and plants showing symptoms, and any surrounding host plants, have been immediately rogued out and destroyed.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Plants grown in buffer zones for passporting for movement into the protected zone, if this measure is maintained, would meet the requirements of either the first or the second option for movements within the rest of the EU.</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Erwinia amylovora (Burr.) Winsl. et al. EFSA Journal 2014;12(12):3922, 37 pp. doi:10.2903/j.efsa.2014.3922 </w:t>
      </w:r>
      <w:hyperlink r:id="rId33156620cbcbeccad" w:history="1">
        <w:r>
          <w:rPr>
            <w:color w:val="0200C9"/>
            <w:sz w:val="24"/>
            <w:szCs w:val="24"/>
          </w:rPr>
          <w:t xml:space="preserve">http://www.efsa.europa.eu/en/efsajournal/doc/3922.pdf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Erwinia amylovora (Burr.) Winsl. et 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437752">
    <w:multiLevelType w:val="hybridMultilevel"/>
    <w:lvl w:ilvl="0" w:tplc="83854579">
      <w:start w:val="1"/>
      <w:numFmt w:val="decimal"/>
      <w:lvlText w:val="%1."/>
      <w:lvlJc w:val="left"/>
      <w:pPr>
        <w:ind w:left="720" w:hanging="360"/>
      </w:pPr>
    </w:lvl>
    <w:lvl w:ilvl="1" w:tplc="83854579" w:tentative="1">
      <w:start w:val="1"/>
      <w:numFmt w:val="lowerLetter"/>
      <w:lvlText w:val="%2."/>
      <w:lvlJc w:val="left"/>
      <w:pPr>
        <w:ind w:left="1440" w:hanging="360"/>
      </w:pPr>
    </w:lvl>
    <w:lvl w:ilvl="2" w:tplc="83854579" w:tentative="1">
      <w:start w:val="1"/>
      <w:numFmt w:val="lowerRoman"/>
      <w:lvlText w:val="%3."/>
      <w:lvlJc w:val="right"/>
      <w:pPr>
        <w:ind w:left="2160" w:hanging="180"/>
      </w:pPr>
    </w:lvl>
    <w:lvl w:ilvl="3" w:tplc="83854579" w:tentative="1">
      <w:start w:val="1"/>
      <w:numFmt w:val="decimal"/>
      <w:lvlText w:val="%4."/>
      <w:lvlJc w:val="left"/>
      <w:pPr>
        <w:ind w:left="2880" w:hanging="360"/>
      </w:pPr>
    </w:lvl>
    <w:lvl w:ilvl="4" w:tplc="83854579" w:tentative="1">
      <w:start w:val="1"/>
      <w:numFmt w:val="lowerLetter"/>
      <w:lvlText w:val="%5."/>
      <w:lvlJc w:val="left"/>
      <w:pPr>
        <w:ind w:left="3600" w:hanging="360"/>
      </w:pPr>
    </w:lvl>
    <w:lvl w:ilvl="5" w:tplc="83854579" w:tentative="1">
      <w:start w:val="1"/>
      <w:numFmt w:val="lowerRoman"/>
      <w:lvlText w:val="%6."/>
      <w:lvlJc w:val="right"/>
      <w:pPr>
        <w:ind w:left="4320" w:hanging="180"/>
      </w:pPr>
    </w:lvl>
    <w:lvl w:ilvl="6" w:tplc="83854579" w:tentative="1">
      <w:start w:val="1"/>
      <w:numFmt w:val="decimal"/>
      <w:lvlText w:val="%7."/>
      <w:lvlJc w:val="left"/>
      <w:pPr>
        <w:ind w:left="5040" w:hanging="360"/>
      </w:pPr>
    </w:lvl>
    <w:lvl w:ilvl="7" w:tplc="83854579" w:tentative="1">
      <w:start w:val="1"/>
      <w:numFmt w:val="lowerLetter"/>
      <w:lvlText w:val="%8."/>
      <w:lvlJc w:val="left"/>
      <w:pPr>
        <w:ind w:left="5760" w:hanging="360"/>
      </w:pPr>
    </w:lvl>
    <w:lvl w:ilvl="8" w:tplc="83854579" w:tentative="1">
      <w:start w:val="1"/>
      <w:numFmt w:val="lowerRoman"/>
      <w:lvlText w:val="%9."/>
      <w:lvlJc w:val="right"/>
      <w:pPr>
        <w:ind w:left="6480" w:hanging="180"/>
      </w:pPr>
    </w:lvl>
  </w:abstractNum>
  <w:abstractNum w:abstractNumId="66437751">
    <w:multiLevelType w:val="hybridMultilevel"/>
    <w:lvl w:ilvl="0" w:tplc="295982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437751">
    <w:abstractNumId w:val="66437751"/>
  </w:num>
  <w:num w:numId="66437752">
    <w:abstractNumId w:val="6643775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5856319" Type="http://schemas.microsoft.com/office/2011/relationships/commentsExtended" Target="commentsExtended.xml"/><Relationship Id="rId77886620cbcbec7c1" Type="http://schemas.openxmlformats.org/officeDocument/2006/relationships/hyperlink" Target="https://gd.eppo.int/" TargetMode="External"/><Relationship Id="rId33156620cbcbeccad" Type="http://schemas.openxmlformats.org/officeDocument/2006/relationships/hyperlink" Target="http://www.efsa.europa.eu/en/efsajournal/doc/3922.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