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6566a04dbefb9c2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Mespilus (1MSPG)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In 1989 new disease symptoms were recorded on quince in the region of Plovdiv, Bulgaria and were also found on pear, Mespilus germanica and apple (Bobev et al 1999). After its first finding, the pest is described as having caused during year 1996 in Hungary most damage on apple, pear, quince and medlar (Zsolt, 2004). In Croatia, medlar and quince had the highest percentage of infected trees, with apple and pear susceptibility depending on cultivar (Cvjetkovic &amp; Halupecki, 1999). The main hosts im Bulgaria are quince and pear (over 40% of affected trees), then apple, medlar and Cotoneaster (Dimitrova &amp; Andreev, 2004). During 1986-91 pear, quince and medlar (Mespilus) trees were most severely affected by fire blight while damage to apple and loquat trees was less severe (Benlioglu &amp; Ozakman, 1999). Recent reports of the presence of E. amylovora on Medlar (without information on impact) are available for Montenegro (Balaz et al., 2012), Bulgaria (Bobev et al, 2011) and Serbia (Gavrilovic et.al., 2008).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Balaz J, Radunovic D &amp; Krstic M (2012) Status of Erwinia amylovora in Montenegro. Proceedings of the International Symposium on Current Trends in Plant Protection, Belgrade, Serbia, 25-28th September, 2012. 373-378;</w:t>
      </w:r>
    </w:p>
    <w:p>
      <w:pPr>
        <w:numPr>
          <w:ilvl w:val="0"/>
          <w:numId w:val="1"/>
        </w:numPr>
        <w:spacing w:before="0" w:after="0" w:line="240" w:lineRule="auto"/>
        <w:jc w:val="left"/>
        <w:rPr>
          <w:color w:val="0200C9"/>
          <w:sz w:val="24"/>
          <w:szCs w:val="24"/>
        </w:rPr>
      </w:pPr>
      <w:r>
        <w:rPr>
          <w:color w:val="0200C9"/>
          <w:sz w:val="24"/>
          <w:szCs w:val="24"/>
        </w:rPr>
        <w:t xml:space="preserve">Benlioglu K &amp; Ozakman M (1999) Characterization of Turkish isolates of Erwinia amylovora. Acta Horticulturae 489, 127-131;</w:t>
      </w:r>
    </w:p>
    <w:p>
      <w:pPr>
        <w:numPr>
          <w:ilvl w:val="0"/>
          <w:numId w:val="1"/>
        </w:numPr>
        <w:spacing w:before="0" w:after="0" w:line="240" w:lineRule="auto"/>
        <w:jc w:val="left"/>
        <w:rPr>
          <w:color w:val="0200C9"/>
          <w:sz w:val="24"/>
          <w:szCs w:val="24"/>
        </w:rPr>
      </w:pPr>
      <w:r>
        <w:rPr>
          <w:color w:val="0200C9"/>
          <w:sz w:val="24"/>
          <w:szCs w:val="24"/>
        </w:rPr>
        <w:t xml:space="preserve">Bobev S, Garbeva P, Crepel C, Maes M &amp; Hauben L (1999) Fire blight in Bulgaria - characteristics of E. amylovora isolates. Proceedings of the Eighth International Workshop on Fire Blight, Kusadasi, Turkey, 12-15 October, 1998 . Acta Horticulturae 489, 121-126;</w:t>
      </w:r>
    </w:p>
    <w:p>
      <w:pPr>
        <w:numPr>
          <w:ilvl w:val="0"/>
          <w:numId w:val="1"/>
        </w:numPr>
        <w:spacing w:before="0" w:after="0" w:line="240" w:lineRule="auto"/>
        <w:jc w:val="left"/>
        <w:rPr>
          <w:color w:val="0200C9"/>
          <w:sz w:val="24"/>
          <w:szCs w:val="24"/>
        </w:rPr>
      </w:pPr>
      <w:r>
        <w:rPr>
          <w:color w:val="0200C9"/>
          <w:sz w:val="24"/>
          <w:szCs w:val="24"/>
        </w:rPr>
        <w:t xml:space="preserve">Bobev SG, Vaerenbergh J, van Tahzima R &amp; Maes M (2011) Fire blight spread in Bulgaria and characteristics of the pathogen Erwinia amylovora. Acta Horticulturae 896; 133-140;</w:t>
      </w:r>
    </w:p>
    <w:p>
      <w:pPr>
        <w:numPr>
          <w:ilvl w:val="0"/>
          <w:numId w:val="1"/>
        </w:numPr>
        <w:spacing w:before="0" w:after="0" w:line="240" w:lineRule="auto"/>
        <w:jc w:val="left"/>
        <w:rPr>
          <w:color w:val="0200C9"/>
          <w:sz w:val="24"/>
          <w:szCs w:val="24"/>
        </w:rPr>
      </w:pPr>
      <w:r>
        <w:rPr>
          <w:color w:val="0200C9"/>
          <w:sz w:val="24"/>
          <w:szCs w:val="24"/>
        </w:rPr>
        <w:t xml:space="preserve">Cvjetkovic B &amp; Halupecki E (1999) Experiences in controlling fire blight (Erwinia amylovora) in Croatia. Zbornik predavanj in referatov 4. Slovenskega Posvetovanja o Varstvu Rastlin v Portorozu od 3. do 4. Marca 1999, 197-200;</w:t>
      </w:r>
    </w:p>
    <w:p>
      <w:pPr>
        <w:numPr>
          <w:ilvl w:val="0"/>
          <w:numId w:val="1"/>
        </w:numPr>
        <w:spacing w:before="0" w:after="0" w:line="240" w:lineRule="auto"/>
        <w:jc w:val="left"/>
        <w:rPr>
          <w:color w:val="0200C9"/>
          <w:sz w:val="24"/>
          <w:szCs w:val="24"/>
        </w:rPr>
      </w:pPr>
      <w:r>
        <w:rPr>
          <w:color w:val="0200C9"/>
          <w:sz w:val="24"/>
          <w:szCs w:val="24"/>
        </w:rPr>
        <w:t xml:space="preserve">Dimitrova E &amp; Andreev L (2004) Fireblight situation in Bulgaria and measures undertaken by the NPPO. Bulletin OEPP 34, 343-345;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54326a04dbefba152"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Gavrilovic V, Milijasevic S &amp; Zivkovic S (2006) Characterization of epiphytic bacteria originating from quince and medlar trees and their antagonistic activity against Erwinia amylovora in vitro. Mitteilungen aus der Biologischen Bundesanstalt fur Land- und Forstwirtschaft 408, 270;</w:t>
      </w:r>
    </w:p>
    <w:p>
      <w:pPr>
        <w:numPr>
          <w:ilvl w:val="0"/>
          <w:numId w:val="1"/>
        </w:numPr>
        <w:spacing w:before="0" w:after="0" w:line="240" w:lineRule="auto"/>
        <w:jc w:val="left"/>
        <w:rPr>
          <w:color w:val="0200C9"/>
          <w:sz w:val="24"/>
          <w:szCs w:val="24"/>
        </w:rPr>
      </w:pPr>
      <w:r>
        <w:rPr>
          <w:color w:val="0200C9"/>
          <w:sz w:val="24"/>
          <w:szCs w:val="24"/>
        </w:rPr>
        <w:t xml:space="preserve">Zsolt M (2004) Fireblight in Bekes County (Hungary) in 1996/2002. Bulletin OEPP 34, 391-394;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789895">
    <w:multiLevelType w:val="hybridMultilevel"/>
    <w:lvl w:ilvl="0" w:tplc="33522939">
      <w:start w:val="1"/>
      <w:numFmt w:val="decimal"/>
      <w:lvlText w:val="%1."/>
      <w:lvlJc w:val="left"/>
      <w:pPr>
        <w:ind w:left="720" w:hanging="360"/>
      </w:pPr>
    </w:lvl>
    <w:lvl w:ilvl="1" w:tplc="33522939" w:tentative="1">
      <w:start w:val="1"/>
      <w:numFmt w:val="lowerLetter"/>
      <w:lvlText w:val="%2."/>
      <w:lvlJc w:val="left"/>
      <w:pPr>
        <w:ind w:left="1440" w:hanging="360"/>
      </w:pPr>
    </w:lvl>
    <w:lvl w:ilvl="2" w:tplc="33522939" w:tentative="1">
      <w:start w:val="1"/>
      <w:numFmt w:val="lowerRoman"/>
      <w:lvlText w:val="%3."/>
      <w:lvlJc w:val="right"/>
      <w:pPr>
        <w:ind w:left="2160" w:hanging="180"/>
      </w:pPr>
    </w:lvl>
    <w:lvl w:ilvl="3" w:tplc="33522939" w:tentative="1">
      <w:start w:val="1"/>
      <w:numFmt w:val="decimal"/>
      <w:lvlText w:val="%4."/>
      <w:lvlJc w:val="left"/>
      <w:pPr>
        <w:ind w:left="2880" w:hanging="360"/>
      </w:pPr>
    </w:lvl>
    <w:lvl w:ilvl="4" w:tplc="33522939" w:tentative="1">
      <w:start w:val="1"/>
      <w:numFmt w:val="lowerLetter"/>
      <w:lvlText w:val="%5."/>
      <w:lvlJc w:val="left"/>
      <w:pPr>
        <w:ind w:left="3600" w:hanging="360"/>
      </w:pPr>
    </w:lvl>
    <w:lvl w:ilvl="5" w:tplc="33522939" w:tentative="1">
      <w:start w:val="1"/>
      <w:numFmt w:val="lowerRoman"/>
      <w:lvlText w:val="%6."/>
      <w:lvlJc w:val="right"/>
      <w:pPr>
        <w:ind w:left="4320" w:hanging="180"/>
      </w:pPr>
    </w:lvl>
    <w:lvl w:ilvl="6" w:tplc="33522939" w:tentative="1">
      <w:start w:val="1"/>
      <w:numFmt w:val="decimal"/>
      <w:lvlText w:val="%7."/>
      <w:lvlJc w:val="left"/>
      <w:pPr>
        <w:ind w:left="5040" w:hanging="360"/>
      </w:pPr>
    </w:lvl>
    <w:lvl w:ilvl="7" w:tplc="33522939" w:tentative="1">
      <w:start w:val="1"/>
      <w:numFmt w:val="lowerLetter"/>
      <w:lvlText w:val="%8."/>
      <w:lvlJc w:val="left"/>
      <w:pPr>
        <w:ind w:left="5760" w:hanging="360"/>
      </w:pPr>
    </w:lvl>
    <w:lvl w:ilvl="8" w:tplc="33522939" w:tentative="1">
      <w:start w:val="1"/>
      <w:numFmt w:val="lowerRoman"/>
      <w:lvlText w:val="%9."/>
      <w:lvlJc w:val="right"/>
      <w:pPr>
        <w:ind w:left="6480" w:hanging="180"/>
      </w:pPr>
    </w:lvl>
  </w:abstractNum>
  <w:abstractNum w:abstractNumId="12789894">
    <w:multiLevelType w:val="hybridMultilevel"/>
    <w:lvl w:ilvl="0" w:tplc="552033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789894">
    <w:abstractNumId w:val="12789894"/>
  </w:num>
  <w:num w:numId="12789895">
    <w:abstractNumId w:val="127898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2154640" Type="http://schemas.microsoft.com/office/2011/relationships/commentsExtended" Target="commentsExtended.xml"/><Relationship Id="rId76566a04dbefb9c21" Type="http://schemas.openxmlformats.org/officeDocument/2006/relationships/hyperlink" Target="https://gd.eppo.int/" TargetMode="External"/><Relationship Id="rId54326a04dbefba152"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