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Erwinia amylovora (ERWIAM)</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Fire blight has been described in nearly 200 plant species, mostly within the family Rosaceae, and within the subfamily Maloideae. The most frequent host genera are Chaenomeles, Cotoneaster, Crataegus, Cydonia, Eriobotrya, Malus, Mespilus, Pyrus, Photinia, Pyracantha, Sorbus and Stranvaesia (EFSA PLH, 2014). This is justified to continue the evaluation of E. amylovora on host plants listed at the genus level.</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Belgium (2015); Bulgaria (2012); Croatia (2007); Cyprus (1990); Czech Republic (2013); Denmark (1987); Estonia (2013); Finland (2014); France (2011); Germany (2013); Greece (2000); Greece/Kriti (1990); Hungary (2012); Ireland (2010); Italy (2013); Italy/Sicilia (1992); Latvia (2014); Lithuania (2010); Luxembourg (1984); Netherlands (2015); Poland (2001); Romania (2011); Slovakia (2005); Slovenia (2003); Spain (2016); Sweden (2008); United Kingdom (2014); United Kingdom/England (2014); United Kingdom/Northern Ireland (2014); United Kingdom/Scotland (2014)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58076629455b776ba"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Mespilus (1MSPG)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The main risk of introduction and spread of fire blight over medium and long distances is through plant material contaminated with E. amylovora, and mainly through plant nursery materials, because the pathogen can live as an epiphyte or an endophyte in buds and shoots. Once infections have taken place, rain and wind (especially thunderstorms) play an important role in the transport of inoculum over short distances and probably also over medium to long distances (aero currents). Insect pollinators are efficient carriers over short and medium distances. Workers in orchards can serve as an efficient system of disseminating E. amylovora, especially over short to medium distances, by means of hands, clothing, pruning and spraying tools (EFSA PLH, 2014). To conclude, if the pest is present on the plants for planting, it may be easily spread over the place of production and no curative measure will be available. Taking preventive measures into account (e.g. spraying of copper compounds), plants for planting are considered to be a significant pathway compared to others. It is justified to regulate this pathway.</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No</w:t>
      </w:r>
      <w:r>
        <w:rPr>
          <w:color w:val="000000"/>
          <w:sz w:val="24"/>
          <w:szCs w:val="24"/>
          <w:u w:val="single"/>
        </w:rPr>
        <w:br/>
        <w:t xml:space="preserve">Justification:</w:t>
      </w:r>
      <w:r>
        <w:rPr>
          <w:color w:val="000000"/>
          <w:sz w:val="24"/>
          <w:szCs w:val="24"/>
        </w:rPr>
        <w:t xml:space="preserve">
</w:t>
      </w:r>
      <w:r>
        <w:rPr>
          <w:color w:val="0200C9"/>
          <w:sz w:val="24"/>
          <w:szCs w:val="24"/>
        </w:rPr>
        <w:t xml:space="preserve">After its first finding, the pest is described as having caused during year 1996 in Hungary most damage on apple, pear, quince and medlar (Zsolt, 2004). In Croatia, medlar and quince had the highest percentage of infected trees, with apple and pear susceptibility depending on cultivar (Cvjetkovic &amp; Halupecki, 1999). The main hosts im Bulgaria are quince and pear (over 40% of affected trees), then apple, medlar and Cotoneaster (Dimitrova &amp; Andreev, 2004). During 1986-91 pear, quince and medlar (Mespilus) trees were most severely affected by fire blight while damage to apple and loquat trees was less severe (Benlioglu &amp; Ozakman, 1999). Recent reports of the presence of E. amylovora on Medlar (without information on impact) are available for Montenegro (Balaz et al, 2012), Bulgaria (Bobev et al, 2011) and Serbia (Gavrilovic et.al., 2008). Whatever the direct economic impacts on this host, E. amylovora can have indirect unacceptable economic impacts on Malus and Pyrus plants for planting.</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Although no curative measures are available (thermotherapy / chemical), current measures in Council Directive 2000/29 (removal of symptomatic plants) are appropriate (although they fail to address asymptomatic infections).</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 based on data and its indirect unacceptable economic impact on Malus, Pyrus and Cydonia plants for planting.</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The proposed measures are without prejudice to additional measures needed to provide the appropriate level of assurance in relation to plants moving into the protected zone or other areas where Erwinia amylovora is recognised as a quarantine organism:</w:t>
      </w:r>
      <w:r>
        <w:rPr>
          <w:color w:val="0200C9"/>
          <w:sz w:val="24"/>
          <w:szCs w:val="24"/>
        </w:rPr>
        <w:br/>
        <w:t xml:space="preserve">- Non-certified material (‘CAC’):</w:t>
      </w:r>
      <w:r>
        <w:rPr>
          <w:color w:val="0200C9"/>
          <w:sz w:val="24"/>
          <w:szCs w:val="24"/>
        </w:rPr>
        <w:br/>
        <w:t xml:space="preserve">(a) Plants produced in areas known to be free from Erwinia amylovora;</w:t>
      </w:r>
      <w:r>
        <w:rPr>
          <w:color w:val="0200C9"/>
          <w:sz w:val="24"/>
          <w:szCs w:val="24"/>
        </w:rPr>
        <w:br/>
        <w:t xml:space="preserve">or</w:t>
      </w:r>
      <w:r>
        <w:rPr>
          <w:color w:val="0200C9"/>
          <w:sz w:val="24"/>
          <w:szCs w:val="24"/>
        </w:rPr>
        <w:br/>
        <w:t xml:space="preserve">(b) The production site has been inspected at an appropriate time during the last growing season and plants showing symptoms, and any surrounding host plants, have been immediately rogued out and destroyed.</w:t>
      </w:r>
      <w:r>
        <w:rPr>
          <w:color w:val="0200C9"/>
          <w:sz w:val="24"/>
          <w:szCs w:val="24"/>
        </w:rPr>
        <w:br/>
        <w:br/>
        <w:t xml:space="preserve">- Pre-basic, Basic, Certified material: Additional measures could include</w:t>
      </w:r>
      <w:r>
        <w:rPr>
          <w:color w:val="0200C9"/>
          <w:sz w:val="24"/>
          <w:szCs w:val="24"/>
        </w:rPr>
        <w:br/>
        <w:t xml:space="preserve">• Isolation from host plants of Erwinia amylovora, or</w:t>
      </w:r>
      <w:r>
        <w:rPr>
          <w:color w:val="0200C9"/>
          <w:sz w:val="24"/>
          <w:szCs w:val="24"/>
        </w:rPr>
        <w:br/>
        <w:t xml:space="preserve">• [where this is legally enforceable] Inspection of host plants in the immediate vicinity and removal and destruction of any symptomatic plants.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Balaz J, Radunovic D &amp; Krstic M (2012) Status of Erwinia amylovora in Montenegro. Proceedings of the International Symposium on Current Trends in Plant Protection, Belgrade, Serbia, 25-28th September, 2012. 373-378;</w:t>
      </w:r>
    </w:p>
    <w:p>
      <w:pPr>
        <w:numPr>
          <w:ilvl w:val="0"/>
          <w:numId w:val="1"/>
        </w:numPr>
        <w:spacing w:before="0" w:after="0" w:line="240" w:lineRule="auto"/>
        <w:jc w:val="left"/>
        <w:rPr>
          <w:color w:val="0200C9"/>
          <w:sz w:val="24"/>
          <w:szCs w:val="24"/>
        </w:rPr>
      </w:pPr>
      <w:r>
        <w:rPr>
          <w:color w:val="0200C9"/>
          <w:sz w:val="24"/>
          <w:szCs w:val="24"/>
        </w:rPr>
        <w:t xml:space="preserve">Benlioglu K &amp; Ozakman M (1999) Characterization of Turkish isolates of Erwinia amylovora. Acta Horticulturae 489, 127-131;</w:t>
      </w:r>
    </w:p>
    <w:p>
      <w:pPr>
        <w:numPr>
          <w:ilvl w:val="0"/>
          <w:numId w:val="1"/>
        </w:numPr>
        <w:spacing w:before="0" w:after="0" w:line="240" w:lineRule="auto"/>
        <w:jc w:val="left"/>
        <w:rPr>
          <w:color w:val="0200C9"/>
          <w:sz w:val="24"/>
          <w:szCs w:val="24"/>
        </w:rPr>
      </w:pPr>
      <w:r>
        <w:rPr>
          <w:color w:val="0200C9"/>
          <w:sz w:val="24"/>
          <w:szCs w:val="24"/>
        </w:rPr>
        <w:t xml:space="preserve">Bobev S G, Vaerenbergh J, van Tahzima R &amp; Maes M (2011) Fire blight spread in Bulgaria and characteristics of the pathogen Erwinia amylovora. Acta Horticulturae 896; 133-140;</w:t>
      </w:r>
    </w:p>
    <w:p>
      <w:pPr>
        <w:numPr>
          <w:ilvl w:val="0"/>
          <w:numId w:val="1"/>
        </w:numPr>
        <w:spacing w:before="0" w:after="0" w:line="240" w:lineRule="auto"/>
        <w:jc w:val="left"/>
        <w:rPr>
          <w:color w:val="0200C9"/>
          <w:sz w:val="24"/>
          <w:szCs w:val="24"/>
        </w:rPr>
      </w:pPr>
      <w:r>
        <w:rPr>
          <w:color w:val="0200C9"/>
          <w:sz w:val="24"/>
          <w:szCs w:val="24"/>
        </w:rPr>
        <w:t xml:space="preserve">Cvjetkovic B &amp; Halupecki E (1999) Experiences in controlling fire blight (Erwinia amylovora) in Croatia. Zbornik predavanj in referatov 4. Slovenskega Posvetovanja o Varstvu Rastlin v Portorozu od 3. do 4. Marca 1999, 197-200;</w:t>
      </w:r>
    </w:p>
    <w:p>
      <w:pPr>
        <w:numPr>
          <w:ilvl w:val="0"/>
          <w:numId w:val="1"/>
        </w:numPr>
        <w:spacing w:before="0" w:after="0" w:line="240" w:lineRule="auto"/>
        <w:jc w:val="left"/>
        <w:rPr>
          <w:color w:val="0200C9"/>
          <w:sz w:val="24"/>
          <w:szCs w:val="24"/>
        </w:rPr>
      </w:pPr>
      <w:r>
        <w:rPr>
          <w:color w:val="0200C9"/>
          <w:sz w:val="24"/>
          <w:szCs w:val="24"/>
        </w:rPr>
        <w:t xml:space="preserve">Dimitrova E &amp; Andreev L (2004) Fireblight situation in Bulgaria and measures undertaken by the NPPO. Bulletin OEPP 34, 343-345;</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Erwinia amylovora (Burr.) Winsl. et al. EFSA Journal 2014;12(12):3922, 37 pp. doi:10.2903/j.efsa.2014.3922 </w:t>
      </w:r>
      <w:hyperlink r:id="rId21656629455b77bde" w:history="1">
        <w:r>
          <w:rPr>
            <w:color w:val="0200C9"/>
            <w:sz w:val="24"/>
            <w:szCs w:val="24"/>
          </w:rPr>
          <w:t xml:space="preserve">http://www.efsa.europa.eu/en/efsajournal/doc/3922.pdf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Erwinia amylovora (Burr.) Winsl. et al.;</w:t>
      </w:r>
    </w:p>
    <w:p>
      <w:pPr>
        <w:numPr>
          <w:ilvl w:val="0"/>
          <w:numId w:val="1"/>
        </w:numPr>
        <w:spacing w:before="0" w:after="0" w:line="240" w:lineRule="auto"/>
        <w:jc w:val="left"/>
        <w:rPr>
          <w:color w:val="0200C9"/>
          <w:sz w:val="24"/>
          <w:szCs w:val="24"/>
        </w:rPr>
      </w:pPr>
      <w:r>
        <w:rPr>
          <w:color w:val="0200C9"/>
          <w:sz w:val="24"/>
          <w:szCs w:val="24"/>
        </w:rPr>
        <w:t xml:space="preserve">Gavrilovic V, Milijasevic S &amp; Zivkovic S (2006) Characterization of epiphytic bacteria originating from quince and medlar trees and their antagonistic activity against Erwinia amylovora in vitro. Mitteilungen aus der Biologischen Bundesanstalt fur Land- und Forstwirtschaft 408, 270;</w:t>
      </w:r>
    </w:p>
    <w:p>
      <w:pPr>
        <w:numPr>
          <w:ilvl w:val="0"/>
          <w:numId w:val="1"/>
        </w:numPr>
        <w:spacing w:before="0" w:after="0" w:line="240" w:lineRule="auto"/>
        <w:jc w:val="left"/>
        <w:rPr>
          <w:color w:val="0200C9"/>
          <w:sz w:val="24"/>
          <w:szCs w:val="24"/>
        </w:rPr>
      </w:pPr>
      <w:r>
        <w:rPr>
          <w:color w:val="0200C9"/>
          <w:sz w:val="24"/>
          <w:szCs w:val="24"/>
        </w:rPr>
        <w:t xml:space="preserve">Zsolt M (2004) Fireblight in Bekes County (Hungary) in 1996/2002. Bulletin OEPP 34, 391-394;</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427567">
    <w:multiLevelType w:val="hybridMultilevel"/>
    <w:lvl w:ilvl="0" w:tplc="85223486">
      <w:start w:val="1"/>
      <w:numFmt w:val="decimal"/>
      <w:lvlText w:val="%1."/>
      <w:lvlJc w:val="left"/>
      <w:pPr>
        <w:ind w:left="720" w:hanging="360"/>
      </w:pPr>
    </w:lvl>
    <w:lvl w:ilvl="1" w:tplc="85223486" w:tentative="1">
      <w:start w:val="1"/>
      <w:numFmt w:val="lowerLetter"/>
      <w:lvlText w:val="%2."/>
      <w:lvlJc w:val="left"/>
      <w:pPr>
        <w:ind w:left="1440" w:hanging="360"/>
      </w:pPr>
    </w:lvl>
    <w:lvl w:ilvl="2" w:tplc="85223486" w:tentative="1">
      <w:start w:val="1"/>
      <w:numFmt w:val="lowerRoman"/>
      <w:lvlText w:val="%3."/>
      <w:lvlJc w:val="right"/>
      <w:pPr>
        <w:ind w:left="2160" w:hanging="180"/>
      </w:pPr>
    </w:lvl>
    <w:lvl w:ilvl="3" w:tplc="85223486" w:tentative="1">
      <w:start w:val="1"/>
      <w:numFmt w:val="decimal"/>
      <w:lvlText w:val="%4."/>
      <w:lvlJc w:val="left"/>
      <w:pPr>
        <w:ind w:left="2880" w:hanging="360"/>
      </w:pPr>
    </w:lvl>
    <w:lvl w:ilvl="4" w:tplc="85223486" w:tentative="1">
      <w:start w:val="1"/>
      <w:numFmt w:val="lowerLetter"/>
      <w:lvlText w:val="%5."/>
      <w:lvlJc w:val="left"/>
      <w:pPr>
        <w:ind w:left="3600" w:hanging="360"/>
      </w:pPr>
    </w:lvl>
    <w:lvl w:ilvl="5" w:tplc="85223486" w:tentative="1">
      <w:start w:val="1"/>
      <w:numFmt w:val="lowerRoman"/>
      <w:lvlText w:val="%6."/>
      <w:lvlJc w:val="right"/>
      <w:pPr>
        <w:ind w:left="4320" w:hanging="180"/>
      </w:pPr>
    </w:lvl>
    <w:lvl w:ilvl="6" w:tplc="85223486" w:tentative="1">
      <w:start w:val="1"/>
      <w:numFmt w:val="decimal"/>
      <w:lvlText w:val="%7."/>
      <w:lvlJc w:val="left"/>
      <w:pPr>
        <w:ind w:left="5040" w:hanging="360"/>
      </w:pPr>
    </w:lvl>
    <w:lvl w:ilvl="7" w:tplc="85223486" w:tentative="1">
      <w:start w:val="1"/>
      <w:numFmt w:val="lowerLetter"/>
      <w:lvlText w:val="%8."/>
      <w:lvlJc w:val="left"/>
      <w:pPr>
        <w:ind w:left="5760" w:hanging="360"/>
      </w:pPr>
    </w:lvl>
    <w:lvl w:ilvl="8" w:tplc="85223486" w:tentative="1">
      <w:start w:val="1"/>
      <w:numFmt w:val="lowerRoman"/>
      <w:lvlText w:val="%9."/>
      <w:lvlJc w:val="right"/>
      <w:pPr>
        <w:ind w:left="6480" w:hanging="180"/>
      </w:pPr>
    </w:lvl>
  </w:abstractNum>
  <w:abstractNum w:abstractNumId="97427566">
    <w:multiLevelType w:val="hybridMultilevel"/>
    <w:lvl w:ilvl="0" w:tplc="196819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427566">
    <w:abstractNumId w:val="97427566"/>
  </w:num>
  <w:num w:numId="97427567">
    <w:abstractNumId w:val="9742756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90303364" Type="http://schemas.microsoft.com/office/2011/relationships/commentsExtended" Target="commentsExtended.xml"/><Relationship Id="rId58076629455b776ba" Type="http://schemas.openxmlformats.org/officeDocument/2006/relationships/hyperlink" Target="https://gd.eppo.int/" TargetMode="External"/><Relationship Id="rId21656629455b77bde" Type="http://schemas.openxmlformats.org/officeDocument/2006/relationships/hyperlink" Target="http://www.efsa.europa.eu/en/efsajournal/doc/3922.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