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Erwinia amylovora ERWIAM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Fire blight has been described in nearly 200 plant species, mostly within the family Rosaceae, and within the subfamily Maloideae. The most frequent host genera are Chaenomeles, Cotoneaster, Crataegus, Cydonia, Eriobotrya, Malus, Mespilus, Pyrus, Photinia, Pyracantha, Sorbus and Stranvaesia (EFSA PLH, 2014). This is justified to continue the evaluation of E. amylovora on host plants listed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(2012); Croatia (2007); Cyprus (1990); Czech Republic (2013); Denmark (1987); Estonia (2013); Finland (2014); France (2011); Germany (2013); Greece (2000); Greece/Kriti (1990); Hungary (2012); Ireland (2010); Italy (2013); Italy/Sicilia (1992); Latvia (2014); Lithuania (2010); Luxembourg (1984); Netherlands (2015); Poland (2001); Romania (2011); Slovakia (2005); Slovenia (2003); Spain (2016); Sweden (2008); United Kingdom (2014); United Kingdom/England (2014); United Kingdom/Northern Ireland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7816a8d0bde5a7b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 Non-certified material (‘CAC’):</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200C9"/>
          <w:sz w:val="24"/>
          <w:szCs w:val="24"/>
        </w:rPr>
        <w:br/>
        <w:br/>
        <w:t xml:space="preserve">- Pre-basic, Basic, Certified material: Additional measures could include</w:t>
      </w:r>
      <w:r>
        <w:rPr>
          <w:color w:val="0200C9"/>
          <w:sz w:val="24"/>
          <w:szCs w:val="24"/>
        </w:rPr>
        <w:br/>
        <w:t xml:space="preserve">• Isolation from host plants of Erwinia amylovora, or</w:t>
      </w:r>
      <w:r>
        <w:rPr>
          <w:color w:val="0200C9"/>
          <w:sz w:val="24"/>
          <w:szCs w:val="24"/>
        </w:rPr>
        <w:br/>
        <w:t xml:space="preserve">• [where this is legally enforceable] Inspection of host plants in the immediate vicinity and removal and destruction of any symptomatic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43866a8d0bde5ab8a"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104215">
    <w:multiLevelType w:val="hybridMultilevel"/>
    <w:lvl w:ilvl="0" w:tplc="90116071">
      <w:start w:val="1"/>
      <w:numFmt w:val="decimal"/>
      <w:lvlText w:val="%1."/>
      <w:lvlJc w:val="left"/>
      <w:pPr>
        <w:ind w:left="720" w:hanging="360"/>
      </w:pPr>
    </w:lvl>
    <w:lvl w:ilvl="1" w:tplc="90116071" w:tentative="1">
      <w:start w:val="1"/>
      <w:numFmt w:val="lowerLetter"/>
      <w:lvlText w:val="%2."/>
      <w:lvlJc w:val="left"/>
      <w:pPr>
        <w:ind w:left="1440" w:hanging="360"/>
      </w:pPr>
    </w:lvl>
    <w:lvl w:ilvl="2" w:tplc="90116071" w:tentative="1">
      <w:start w:val="1"/>
      <w:numFmt w:val="lowerRoman"/>
      <w:lvlText w:val="%3."/>
      <w:lvlJc w:val="right"/>
      <w:pPr>
        <w:ind w:left="2160" w:hanging="180"/>
      </w:pPr>
    </w:lvl>
    <w:lvl w:ilvl="3" w:tplc="90116071" w:tentative="1">
      <w:start w:val="1"/>
      <w:numFmt w:val="decimal"/>
      <w:lvlText w:val="%4."/>
      <w:lvlJc w:val="left"/>
      <w:pPr>
        <w:ind w:left="2880" w:hanging="360"/>
      </w:pPr>
    </w:lvl>
    <w:lvl w:ilvl="4" w:tplc="90116071" w:tentative="1">
      <w:start w:val="1"/>
      <w:numFmt w:val="lowerLetter"/>
      <w:lvlText w:val="%5."/>
      <w:lvlJc w:val="left"/>
      <w:pPr>
        <w:ind w:left="3600" w:hanging="360"/>
      </w:pPr>
    </w:lvl>
    <w:lvl w:ilvl="5" w:tplc="90116071" w:tentative="1">
      <w:start w:val="1"/>
      <w:numFmt w:val="lowerRoman"/>
      <w:lvlText w:val="%6."/>
      <w:lvlJc w:val="right"/>
      <w:pPr>
        <w:ind w:left="4320" w:hanging="180"/>
      </w:pPr>
    </w:lvl>
    <w:lvl w:ilvl="6" w:tplc="90116071" w:tentative="1">
      <w:start w:val="1"/>
      <w:numFmt w:val="decimal"/>
      <w:lvlText w:val="%7."/>
      <w:lvlJc w:val="left"/>
      <w:pPr>
        <w:ind w:left="5040" w:hanging="360"/>
      </w:pPr>
    </w:lvl>
    <w:lvl w:ilvl="7" w:tplc="90116071" w:tentative="1">
      <w:start w:val="1"/>
      <w:numFmt w:val="lowerLetter"/>
      <w:lvlText w:val="%8."/>
      <w:lvlJc w:val="left"/>
      <w:pPr>
        <w:ind w:left="5760" w:hanging="360"/>
      </w:pPr>
    </w:lvl>
    <w:lvl w:ilvl="8" w:tplc="90116071" w:tentative="1">
      <w:start w:val="1"/>
      <w:numFmt w:val="lowerRoman"/>
      <w:lvlText w:val="%9."/>
      <w:lvlJc w:val="right"/>
      <w:pPr>
        <w:ind w:left="6480" w:hanging="180"/>
      </w:pPr>
    </w:lvl>
  </w:abstractNum>
  <w:abstractNum w:abstractNumId="58104214">
    <w:multiLevelType w:val="hybridMultilevel"/>
    <w:lvl w:ilvl="0" w:tplc="336380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104214">
    <w:abstractNumId w:val="58104214"/>
  </w:num>
  <w:num w:numId="58104215">
    <w:abstractNumId w:val="581042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3860051" Type="http://schemas.microsoft.com/office/2011/relationships/commentsExtended" Target="commentsExtended.xml"/><Relationship Id="rId17816a8d0bde5a7b0" Type="http://schemas.openxmlformats.org/officeDocument/2006/relationships/hyperlink" Target="https://gd.eppo.int/" TargetMode="External"/><Relationship Id="rId43866a8d0bde5ab8a" Type="http://schemas.openxmlformats.org/officeDocument/2006/relationships/hyperlink" Target="http://www.efsa.europa.eu/en/efsajournal/doc/392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