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Erwinia amylovora ERWIAM</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Fire blight has been described in nearly 200 plant species, mostly within the family Rosaceae, and within the subfamily Maloideae. The most frequent host genera are Chaenomeles, Cotoneaster, Crataegus, Cydonia, Eriobotrya, Malus, Mespilus, Pyrus, Photinia, Pyracantha, Sorbus and Stranvaesia (EFSA PLH, 2014). This is justified to continue the evaluation of E. amylovora on host plants listed at the genus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(2015); Bulgaria (2012); Croatia (2007); Cyprus (1990); Czech Republic (2013); Denmark (1987); Estonia (2013); Finland (2014); France (2011); Germany (2013); Greece (2000); Greece/Kriti (1990); Hungary (2012); Ireland (2010); Italy (2013); Italy/Sicilia (1992); Latvia (2014); Lithuania (2010); Luxembourg (1984); Netherlands (2015); Poland (2001); Romania (2011); Slovakia (2005); Slovenia (2003); Spain (2016); Sweden (2008); United Kingdom (2014); United Kingdom/England (2014); United Kingdom/Northern Ireland (2014); United Kingdom/Scotland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67796ae761f1381f6"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Malus (1MABG)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The proposed measures are without prejudice to additional measures needed to provide the appropriate level of assurance in relation to plants moving into the protected zone or other areas where Erwinia amylovora is recognised as a quarantine organism:</w:t>
      </w:r>
      <w:r>
        <w:rPr>
          <w:color w:val="0200C9"/>
          <w:sz w:val="24"/>
          <w:szCs w:val="24"/>
        </w:rPr>
        <w:br/>
        <w:t xml:space="preserve">- Non-certified material (‘CAC’):</w:t>
      </w:r>
      <w:r>
        <w:rPr>
          <w:color w:val="0200C9"/>
          <w:sz w:val="24"/>
          <w:szCs w:val="24"/>
        </w:rPr>
        <w:br/>
        <w:t xml:space="preserve">(a) Plants produced in areas known to be free from Erwinia amylovora;</w:t>
      </w:r>
      <w:r>
        <w:rPr>
          <w:color w:val="0200C9"/>
          <w:sz w:val="24"/>
          <w:szCs w:val="24"/>
        </w:rPr>
        <w:br/>
        <w:t xml:space="preserve">or</w:t>
      </w:r>
      <w:r>
        <w:rPr>
          <w:color w:val="0200C9"/>
          <w:sz w:val="24"/>
          <w:szCs w:val="24"/>
        </w:rPr>
        <w:br/>
        <w:t xml:space="preserve">(b) The production site has been inspected at an appropriate time during the last growing season and plants showing symptoms, and any surrounding host plants, have been immediately rogued out and destroyed.</w:t>
      </w:r>
      <w:r>
        <w:rPr>
          <w:color w:val="0200C9"/>
          <w:sz w:val="24"/>
          <w:szCs w:val="24"/>
        </w:rPr>
        <w:br/>
        <w:br/>
        <w:t xml:space="preserve">- Pre-basic, Basic, Certified material: Additional measures could include</w:t>
      </w:r>
      <w:r>
        <w:rPr>
          <w:color w:val="0200C9"/>
          <w:sz w:val="24"/>
          <w:szCs w:val="24"/>
        </w:rPr>
        <w:br/>
        <w:t xml:space="preserve">• Isolation from host plants of Erwinia amylovora, or</w:t>
      </w:r>
      <w:r>
        <w:rPr>
          <w:color w:val="0200C9"/>
          <w:sz w:val="24"/>
          <w:szCs w:val="24"/>
        </w:rPr>
        <w:br/>
        <w:t xml:space="preserve">• [where this is legally enforceable] Inspection of host plants in the immediate vicinity and removal and destruction of any symptomatic plants.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Erwinia amylovora (Burr.) Winsl. et al. EFSA Journal 2014;12(12):3922, 37 pp. doi:10.2903/j.efsa.2014.3922 </w:t>
      </w:r>
      <w:hyperlink r:id="rId49156ae761f1383e0" w:history="1">
        <w:r>
          <w:rPr>
            <w:color w:val="0200C9"/>
            <w:sz w:val="24"/>
            <w:szCs w:val="24"/>
          </w:rPr>
          <w:t xml:space="preserve">http://www.efsa.europa.eu/en/efsajournal/doc/3922.pdf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Erwinia amylovora (Burr.) Winsl. et al.;</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193725">
    <w:multiLevelType w:val="hybridMultilevel"/>
    <w:lvl w:ilvl="0" w:tplc="67597043">
      <w:start w:val="1"/>
      <w:numFmt w:val="decimal"/>
      <w:lvlText w:val="%1."/>
      <w:lvlJc w:val="left"/>
      <w:pPr>
        <w:ind w:left="720" w:hanging="360"/>
      </w:pPr>
    </w:lvl>
    <w:lvl w:ilvl="1" w:tplc="67597043" w:tentative="1">
      <w:start w:val="1"/>
      <w:numFmt w:val="lowerLetter"/>
      <w:lvlText w:val="%2."/>
      <w:lvlJc w:val="left"/>
      <w:pPr>
        <w:ind w:left="1440" w:hanging="360"/>
      </w:pPr>
    </w:lvl>
    <w:lvl w:ilvl="2" w:tplc="67597043" w:tentative="1">
      <w:start w:val="1"/>
      <w:numFmt w:val="lowerRoman"/>
      <w:lvlText w:val="%3."/>
      <w:lvlJc w:val="right"/>
      <w:pPr>
        <w:ind w:left="2160" w:hanging="180"/>
      </w:pPr>
    </w:lvl>
    <w:lvl w:ilvl="3" w:tplc="67597043" w:tentative="1">
      <w:start w:val="1"/>
      <w:numFmt w:val="decimal"/>
      <w:lvlText w:val="%4."/>
      <w:lvlJc w:val="left"/>
      <w:pPr>
        <w:ind w:left="2880" w:hanging="360"/>
      </w:pPr>
    </w:lvl>
    <w:lvl w:ilvl="4" w:tplc="67597043" w:tentative="1">
      <w:start w:val="1"/>
      <w:numFmt w:val="lowerLetter"/>
      <w:lvlText w:val="%5."/>
      <w:lvlJc w:val="left"/>
      <w:pPr>
        <w:ind w:left="3600" w:hanging="360"/>
      </w:pPr>
    </w:lvl>
    <w:lvl w:ilvl="5" w:tplc="67597043" w:tentative="1">
      <w:start w:val="1"/>
      <w:numFmt w:val="lowerRoman"/>
      <w:lvlText w:val="%6."/>
      <w:lvlJc w:val="right"/>
      <w:pPr>
        <w:ind w:left="4320" w:hanging="180"/>
      </w:pPr>
    </w:lvl>
    <w:lvl w:ilvl="6" w:tplc="67597043" w:tentative="1">
      <w:start w:val="1"/>
      <w:numFmt w:val="decimal"/>
      <w:lvlText w:val="%7."/>
      <w:lvlJc w:val="left"/>
      <w:pPr>
        <w:ind w:left="5040" w:hanging="360"/>
      </w:pPr>
    </w:lvl>
    <w:lvl w:ilvl="7" w:tplc="67597043" w:tentative="1">
      <w:start w:val="1"/>
      <w:numFmt w:val="lowerLetter"/>
      <w:lvlText w:val="%8."/>
      <w:lvlJc w:val="left"/>
      <w:pPr>
        <w:ind w:left="5760" w:hanging="360"/>
      </w:pPr>
    </w:lvl>
    <w:lvl w:ilvl="8" w:tplc="67597043" w:tentative="1">
      <w:start w:val="1"/>
      <w:numFmt w:val="lowerRoman"/>
      <w:lvlText w:val="%9."/>
      <w:lvlJc w:val="right"/>
      <w:pPr>
        <w:ind w:left="6480" w:hanging="180"/>
      </w:pPr>
    </w:lvl>
  </w:abstractNum>
  <w:abstractNum w:abstractNumId="48193724">
    <w:multiLevelType w:val="hybridMultilevel"/>
    <w:lvl w:ilvl="0" w:tplc="138070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193724">
    <w:abstractNumId w:val="48193724"/>
  </w:num>
  <w:num w:numId="48193725">
    <w:abstractNumId w:val="481937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26552942" Type="http://schemas.microsoft.com/office/2011/relationships/commentsExtended" Target="commentsExtended.xml"/><Relationship Id="rId67796ae761f1381f6" Type="http://schemas.openxmlformats.org/officeDocument/2006/relationships/hyperlink" Target="https://gd.eppo.int/" TargetMode="External"/><Relationship Id="rId49156ae761f1383e0" Type="http://schemas.openxmlformats.org/officeDocument/2006/relationships/hyperlink" Target="http://www.efsa.europa.eu/en/efsajournal/doc/3922.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