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095662baf2c5fd9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Eriobotrya (1EIOG)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 amylovora is an important pest of loquat (Eriobotrya japonica) in Mediterranean countries. The pest caused outbreaks in loquat orchards (in Spain: Lopez et.al, 2002 and 1999; Turkey: Tokgonul, 1994). A serious outbreak of E. amylovora on loquat was reported from Israel (Zilberstaine et al., 1996). All tested loquat cultivars in Turkey and Greece were found to be highly susceptible for leave infections (Aktepe et al., 2014; Tsiantos &amp; Psallidas, 2004). Publications about trials to combat E. amylovora in loquat (Turkey: Bastas &amp; Maden, 2007; Israel: Miriam et al, 1999) or about Streptomycin resistance (Israel: Manulis et al., 1999 and 1998) gives some indication about the importance of E. amylovora on this host. Some authors indicated that the damage to loquat (Eriobotrya) and apple is less severe than to quince and pear (Beniglio &amp; Ozakman, 1999; Momol &amp; Yegen, 1993). Whatever the direct economic impacts on this host, E. amylovora can have indirect unacceptable economic impacts on Malus and Pyrus plants for planting.</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Although no curative measures are available (thermotherapy / chemical), current measures in Council Directive 2000/29 (removal of symptomatic plants) are appropriate (although they fail to address asymptomatic infections).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and its indirect unacceptable economic impact on Malus, Pyrus and Cydonia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 Non-certified material (‘CAC’):</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200C9"/>
          <w:sz w:val="24"/>
          <w:szCs w:val="24"/>
        </w:rPr>
        <w:br/>
        <w:br/>
        <w:t xml:space="preserve">- Pre-basic, Basic, Certified material: Additional measures could include</w:t>
      </w:r>
      <w:r>
        <w:rPr>
          <w:color w:val="0200C9"/>
          <w:sz w:val="24"/>
          <w:szCs w:val="24"/>
        </w:rPr>
        <w:br/>
        <w:t xml:space="preserve">• Isolation from host plants of Erwinia amylovora, or</w:t>
      </w:r>
      <w:r>
        <w:rPr>
          <w:color w:val="0200C9"/>
          <w:sz w:val="24"/>
          <w:szCs w:val="24"/>
        </w:rPr>
        <w:br/>
        <w:t xml:space="preserve">• [where this is legally enforceable] Inspection of host plants in the immediate vicinity and removal and destruction of any symptomatic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Aktepe B P, Aysan Y &amp; Tepe S (2014) Determination of fire blight susceptibility of loquat cultivars. Acta Horticulturae 1056, 231-233;</w:t>
      </w:r>
    </w:p>
    <w:p>
      <w:pPr>
        <w:numPr>
          <w:ilvl w:val="0"/>
          <w:numId w:val="1"/>
        </w:numPr>
        <w:spacing w:before="0" w:after="0" w:line="240" w:lineRule="auto"/>
        <w:jc w:val="left"/>
        <w:rPr>
          <w:color w:val="0200C9"/>
          <w:sz w:val="24"/>
          <w:szCs w:val="24"/>
        </w:rPr>
      </w:pPr>
      <w:r>
        <w:rPr>
          <w:color w:val="0200C9"/>
          <w:sz w:val="24"/>
          <w:szCs w:val="24"/>
        </w:rPr>
        <w:t xml:space="preserve">Bastas K K &amp; Maden S (2007) Evaluation of host resistance inducers and conventional products for fire blight management in loquat and quince. Phytoprotection 88, 93-101;</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6269662baf2c6030e"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Lopez M M, Gorris M T, Llop P, Cambra M, Rosello M, Berra D, Borruel M, Plaza B, Garcia P &amp; Palomo J L (2001) Chronicle of a disease foretold (that advances slowly): the 2001 Spanish situation. Acta Horticulturae 590, 35-38;</w:t>
      </w:r>
    </w:p>
    <w:p>
      <w:pPr>
        <w:numPr>
          <w:ilvl w:val="0"/>
          <w:numId w:val="1"/>
        </w:numPr>
        <w:spacing w:before="0" w:after="0" w:line="240" w:lineRule="auto"/>
        <w:jc w:val="left"/>
        <w:rPr>
          <w:color w:val="0200C9"/>
          <w:sz w:val="24"/>
          <w:szCs w:val="24"/>
        </w:rPr>
      </w:pPr>
      <w:r>
        <w:rPr>
          <w:color w:val="0200C9"/>
          <w:sz w:val="24"/>
          <w:szCs w:val="24"/>
        </w:rPr>
        <w:t xml:space="preserve">Lopez M M, Llop P, Donat V, Penalver J, Rico A, Ortiz A, Murillo J, Llorente I, Badosa E &amp; Montesinos E (1999) Fire blight in Spain: situation and monitoring. Acta Horticulturae 489, 187-191;</w:t>
      </w:r>
    </w:p>
    <w:p>
      <w:pPr>
        <w:numPr>
          <w:ilvl w:val="0"/>
          <w:numId w:val="1"/>
        </w:numPr>
        <w:spacing w:before="0" w:after="0" w:line="240" w:lineRule="auto"/>
        <w:jc w:val="left"/>
        <w:rPr>
          <w:color w:val="0200C9"/>
          <w:sz w:val="24"/>
          <w:szCs w:val="24"/>
        </w:rPr>
      </w:pPr>
      <w:r>
        <w:rPr>
          <w:color w:val="0200C9"/>
          <w:sz w:val="24"/>
          <w:szCs w:val="24"/>
        </w:rPr>
        <w:t xml:space="preserve">Manulis S, Zutra D, Kleitman F, Dror O, David I, Zilberstaine M &amp; Shabi E (1998) Distribution of streptomycin-resistant strains of Erwinia amylovora in Israel and occurrence of blossom blight in the autumn. Phytoparasitica 26, 223-230;</w:t>
      </w:r>
    </w:p>
    <w:p>
      <w:pPr>
        <w:numPr>
          <w:ilvl w:val="0"/>
          <w:numId w:val="1"/>
        </w:numPr>
        <w:spacing w:before="0" w:after="0" w:line="240" w:lineRule="auto"/>
        <w:jc w:val="left"/>
        <w:rPr>
          <w:color w:val="0200C9"/>
          <w:sz w:val="24"/>
          <w:szCs w:val="24"/>
        </w:rPr>
      </w:pPr>
      <w:r>
        <w:rPr>
          <w:color w:val="0200C9"/>
          <w:sz w:val="24"/>
          <w:szCs w:val="24"/>
        </w:rPr>
        <w:t xml:space="preserve">Miriam Z, Shula M &amp; Frieda K (1999) Etiology and control measures of fire blight in Loquat. Acta Horticulturae 489, 495-497;</w:t>
      </w:r>
    </w:p>
    <w:p>
      <w:pPr>
        <w:numPr>
          <w:ilvl w:val="0"/>
          <w:numId w:val="1"/>
        </w:numPr>
        <w:spacing w:before="0" w:after="0" w:line="240" w:lineRule="auto"/>
        <w:jc w:val="left"/>
        <w:rPr>
          <w:color w:val="0200C9"/>
          <w:sz w:val="24"/>
          <w:szCs w:val="24"/>
        </w:rPr>
      </w:pPr>
      <w:r>
        <w:rPr>
          <w:color w:val="0200C9"/>
          <w:sz w:val="24"/>
          <w:szCs w:val="24"/>
        </w:rPr>
        <w:t xml:space="preserve">Momol M T &amp; Yegen O (1993) Fire blight in Turkey: 1985-1992. Acta Horticulturae 338, 37-39;</w:t>
      </w:r>
    </w:p>
    <w:p>
      <w:pPr>
        <w:numPr>
          <w:ilvl w:val="0"/>
          <w:numId w:val="1"/>
        </w:numPr>
        <w:spacing w:before="0" w:after="0" w:line="240" w:lineRule="auto"/>
        <w:jc w:val="left"/>
        <w:rPr>
          <w:color w:val="0200C9"/>
          <w:sz w:val="24"/>
          <w:szCs w:val="24"/>
        </w:rPr>
      </w:pPr>
      <w:r>
        <w:rPr>
          <w:color w:val="0200C9"/>
          <w:sz w:val="24"/>
          <w:szCs w:val="24"/>
        </w:rPr>
        <w:t xml:space="preserve">Tokgonul S (1994) Studies on fire blight (Erwinia amylovora) on apple, quince and loquat in the east Mediterranean region of Turkey. [Turkish] Bitki Koruma Bulteni 31, 31-38;</w:t>
      </w:r>
    </w:p>
    <w:p>
      <w:pPr>
        <w:numPr>
          <w:ilvl w:val="0"/>
          <w:numId w:val="1"/>
        </w:numPr>
        <w:spacing w:before="0" w:after="0" w:line="240" w:lineRule="auto"/>
        <w:jc w:val="left"/>
        <w:rPr>
          <w:color w:val="0200C9"/>
          <w:sz w:val="24"/>
          <w:szCs w:val="24"/>
        </w:rPr>
      </w:pPr>
      <w:r>
        <w:rPr>
          <w:color w:val="0200C9"/>
          <w:sz w:val="24"/>
          <w:szCs w:val="24"/>
        </w:rPr>
        <w:t xml:space="preserve">Tsiantos J &amp; Psallidas P (2004) Fire blight resistance in various loquat, apple and pear cultivars and selections in Greece. Journal of Plant Pathology 86, 227-232;</w:t>
      </w:r>
    </w:p>
    <w:p>
      <w:pPr>
        <w:numPr>
          <w:ilvl w:val="0"/>
          <w:numId w:val="1"/>
        </w:numPr>
        <w:spacing w:before="0" w:after="0" w:line="240" w:lineRule="auto"/>
        <w:jc w:val="left"/>
        <w:rPr>
          <w:color w:val="0200C9"/>
          <w:sz w:val="24"/>
          <w:szCs w:val="24"/>
        </w:rPr>
      </w:pPr>
      <w:r>
        <w:rPr>
          <w:color w:val="0200C9"/>
          <w:sz w:val="24"/>
          <w:szCs w:val="24"/>
        </w:rPr>
        <w:t xml:space="preserve">Zilberstaine M, Herzog Z, Manulis S &amp; Zutra D (1996) Outbreak of fire blight threatening the loquat industry in Israel. Acta Horticulturae 411, 177-178;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911418">
    <w:multiLevelType w:val="hybridMultilevel"/>
    <w:lvl w:ilvl="0" w:tplc="23198794">
      <w:start w:val="1"/>
      <w:numFmt w:val="decimal"/>
      <w:lvlText w:val="%1."/>
      <w:lvlJc w:val="left"/>
      <w:pPr>
        <w:ind w:left="720" w:hanging="360"/>
      </w:pPr>
    </w:lvl>
    <w:lvl w:ilvl="1" w:tplc="23198794" w:tentative="1">
      <w:start w:val="1"/>
      <w:numFmt w:val="lowerLetter"/>
      <w:lvlText w:val="%2."/>
      <w:lvlJc w:val="left"/>
      <w:pPr>
        <w:ind w:left="1440" w:hanging="360"/>
      </w:pPr>
    </w:lvl>
    <w:lvl w:ilvl="2" w:tplc="23198794" w:tentative="1">
      <w:start w:val="1"/>
      <w:numFmt w:val="lowerRoman"/>
      <w:lvlText w:val="%3."/>
      <w:lvlJc w:val="right"/>
      <w:pPr>
        <w:ind w:left="2160" w:hanging="180"/>
      </w:pPr>
    </w:lvl>
    <w:lvl w:ilvl="3" w:tplc="23198794" w:tentative="1">
      <w:start w:val="1"/>
      <w:numFmt w:val="decimal"/>
      <w:lvlText w:val="%4."/>
      <w:lvlJc w:val="left"/>
      <w:pPr>
        <w:ind w:left="2880" w:hanging="360"/>
      </w:pPr>
    </w:lvl>
    <w:lvl w:ilvl="4" w:tplc="23198794" w:tentative="1">
      <w:start w:val="1"/>
      <w:numFmt w:val="lowerLetter"/>
      <w:lvlText w:val="%5."/>
      <w:lvlJc w:val="left"/>
      <w:pPr>
        <w:ind w:left="3600" w:hanging="360"/>
      </w:pPr>
    </w:lvl>
    <w:lvl w:ilvl="5" w:tplc="23198794" w:tentative="1">
      <w:start w:val="1"/>
      <w:numFmt w:val="lowerRoman"/>
      <w:lvlText w:val="%6."/>
      <w:lvlJc w:val="right"/>
      <w:pPr>
        <w:ind w:left="4320" w:hanging="180"/>
      </w:pPr>
    </w:lvl>
    <w:lvl w:ilvl="6" w:tplc="23198794" w:tentative="1">
      <w:start w:val="1"/>
      <w:numFmt w:val="decimal"/>
      <w:lvlText w:val="%7."/>
      <w:lvlJc w:val="left"/>
      <w:pPr>
        <w:ind w:left="5040" w:hanging="360"/>
      </w:pPr>
    </w:lvl>
    <w:lvl w:ilvl="7" w:tplc="23198794" w:tentative="1">
      <w:start w:val="1"/>
      <w:numFmt w:val="lowerLetter"/>
      <w:lvlText w:val="%8."/>
      <w:lvlJc w:val="left"/>
      <w:pPr>
        <w:ind w:left="5760" w:hanging="360"/>
      </w:pPr>
    </w:lvl>
    <w:lvl w:ilvl="8" w:tplc="23198794" w:tentative="1">
      <w:start w:val="1"/>
      <w:numFmt w:val="lowerRoman"/>
      <w:lvlText w:val="%9."/>
      <w:lvlJc w:val="right"/>
      <w:pPr>
        <w:ind w:left="6480" w:hanging="180"/>
      </w:pPr>
    </w:lvl>
  </w:abstractNum>
  <w:abstractNum w:abstractNumId="92911417">
    <w:multiLevelType w:val="hybridMultilevel"/>
    <w:lvl w:ilvl="0" w:tplc="50098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911417">
    <w:abstractNumId w:val="92911417"/>
  </w:num>
  <w:num w:numId="92911418">
    <w:abstractNumId w:val="929114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1916420" Type="http://schemas.microsoft.com/office/2011/relationships/commentsExtended" Target="commentsExtended.xml"/><Relationship Id="rId8095662baf2c5fd9b" Type="http://schemas.openxmlformats.org/officeDocument/2006/relationships/hyperlink" Target="https://gd.eppo.int/" TargetMode="External"/><Relationship Id="rId6269662baf2c6030e"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