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248662a0e6ae73e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Cotoneaster (1CTTG)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main risk of introduction and spread of fire blight over medium and long distances is through plant material contaminated with E. amylovora, and mainly through plant nursery materials, because the pathogen can live as an epiphyte or an endophyte in buds and shoots. Once infections have taken place, rain and wind (especially thunderstorms) play an important role in the transport of inoculum over short distances and probably also over medium to long distances (aero currents). Insect pollinators are efficient carriers over short and medium distances. Workers in orchards can serve as an efficient system of disseminating E. amylovora, especially over short to medium distances, by means of hands, clothing, pruning and spraying tools (EFSA PLH, 2014). To conclude, if the pest is present on the plants for planting, it may be easily spread over the place of production and no curative measure will be available. Taking preventive measures into account (e.g. spraying of copper compounds), plants for planting are considered to be a significant pathway compared to others. It is justified to regulate this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Many publications list the genera as an ornamental host of E. amylovora and it can have quite severe effects on this host depending on variety and climatic conditions. Within the ornamental and wild plants, members of the genus Cotoneaster are generally very susceptible and it can maintain epidemics between periods of disease attack on fruit production host plants (EFSA PLH, 2014). Remark: Losses are more important on pear, apple and quince (EFSA PLH, 2014). Whatever the direct economic impacts on this host, E. amylovora can have indirect unacceptable economic impacts on Malus and Pyrus plants for planting.</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Existing control is mainly based on prevention and exclusion. The use of chemical or biological products can prevent infection, and sanitation methods applied to infected plants can control the disease to a certain extent. No curative chemical control agents are available to eradicate E. amylovora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Plants grown in buffer zones for passporting for movement into the protected zone, if this measure is maintained, would meet the requirements of either the first or the second option for movements within the rest of the EU.</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1458662a0e6ae7926"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929074">
    <w:multiLevelType w:val="hybridMultilevel"/>
    <w:lvl w:ilvl="0" w:tplc="34517517">
      <w:start w:val="1"/>
      <w:numFmt w:val="decimal"/>
      <w:lvlText w:val="%1."/>
      <w:lvlJc w:val="left"/>
      <w:pPr>
        <w:ind w:left="720" w:hanging="360"/>
      </w:pPr>
    </w:lvl>
    <w:lvl w:ilvl="1" w:tplc="34517517" w:tentative="1">
      <w:start w:val="1"/>
      <w:numFmt w:val="lowerLetter"/>
      <w:lvlText w:val="%2."/>
      <w:lvlJc w:val="left"/>
      <w:pPr>
        <w:ind w:left="1440" w:hanging="360"/>
      </w:pPr>
    </w:lvl>
    <w:lvl w:ilvl="2" w:tplc="34517517" w:tentative="1">
      <w:start w:val="1"/>
      <w:numFmt w:val="lowerRoman"/>
      <w:lvlText w:val="%3."/>
      <w:lvlJc w:val="right"/>
      <w:pPr>
        <w:ind w:left="2160" w:hanging="180"/>
      </w:pPr>
    </w:lvl>
    <w:lvl w:ilvl="3" w:tplc="34517517" w:tentative="1">
      <w:start w:val="1"/>
      <w:numFmt w:val="decimal"/>
      <w:lvlText w:val="%4."/>
      <w:lvlJc w:val="left"/>
      <w:pPr>
        <w:ind w:left="2880" w:hanging="360"/>
      </w:pPr>
    </w:lvl>
    <w:lvl w:ilvl="4" w:tplc="34517517" w:tentative="1">
      <w:start w:val="1"/>
      <w:numFmt w:val="lowerLetter"/>
      <w:lvlText w:val="%5."/>
      <w:lvlJc w:val="left"/>
      <w:pPr>
        <w:ind w:left="3600" w:hanging="360"/>
      </w:pPr>
    </w:lvl>
    <w:lvl w:ilvl="5" w:tplc="34517517" w:tentative="1">
      <w:start w:val="1"/>
      <w:numFmt w:val="lowerRoman"/>
      <w:lvlText w:val="%6."/>
      <w:lvlJc w:val="right"/>
      <w:pPr>
        <w:ind w:left="4320" w:hanging="180"/>
      </w:pPr>
    </w:lvl>
    <w:lvl w:ilvl="6" w:tplc="34517517" w:tentative="1">
      <w:start w:val="1"/>
      <w:numFmt w:val="decimal"/>
      <w:lvlText w:val="%7."/>
      <w:lvlJc w:val="left"/>
      <w:pPr>
        <w:ind w:left="5040" w:hanging="360"/>
      </w:pPr>
    </w:lvl>
    <w:lvl w:ilvl="7" w:tplc="34517517" w:tentative="1">
      <w:start w:val="1"/>
      <w:numFmt w:val="lowerLetter"/>
      <w:lvlText w:val="%8."/>
      <w:lvlJc w:val="left"/>
      <w:pPr>
        <w:ind w:left="5760" w:hanging="360"/>
      </w:pPr>
    </w:lvl>
    <w:lvl w:ilvl="8" w:tplc="34517517" w:tentative="1">
      <w:start w:val="1"/>
      <w:numFmt w:val="lowerRoman"/>
      <w:lvlText w:val="%9."/>
      <w:lvlJc w:val="right"/>
      <w:pPr>
        <w:ind w:left="6480" w:hanging="180"/>
      </w:pPr>
    </w:lvl>
  </w:abstractNum>
  <w:abstractNum w:abstractNumId="15929073">
    <w:multiLevelType w:val="hybridMultilevel"/>
    <w:lvl w:ilvl="0" w:tplc="97851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929073">
    <w:abstractNumId w:val="15929073"/>
  </w:num>
  <w:num w:numId="15929074">
    <w:abstractNumId w:val="159290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4027155" Type="http://schemas.microsoft.com/office/2011/relationships/commentsExtended" Target="commentsExtended.xml"/><Relationship Id="rId8248662a0e6ae73e4" Type="http://schemas.openxmlformats.org/officeDocument/2006/relationships/hyperlink" Target="https://gd.eppo.int/" TargetMode="External"/><Relationship Id="rId1458662a0e6ae7926"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