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Xylophilus ampelinus (XANTAM)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Vine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Vine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France (1995); Greece (1996); Greece/Kriti (1994); Italy (1992); Italy/Sicilia (1994); Italy/Sardegna (1994); Slovenia (2005)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76166239bbe7510b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Vitis vinifera (Vitis) (1VITG)</w:t>
      </w:r>
      <w:r>
        <w:rPr>
          <w:color w:val="000000"/>
          <w:sz w:val="24"/>
          <w:szCs w:val="24"/>
        </w:rPr>
        <w:t xml:space="preserve"> for the Vine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IIA2AWG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planting, other than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X. ampelinus affects only V. vinifera (EFSA 2014). Evaluation is therefore only proposed for V. vinifera.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 - based on EPPO PM 4 Standard.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 on the basis of visual inspections at appropriate times during the last growing season and sampling and testing of plants showing symptoms.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Based on visual examination carried out at least once during the last growing season at appropriate times for the expression of symptoms.</w:t>
      </w:r>
      <w:r>
        <w:rPr>
          <w:color w:val="0200C9"/>
          <w:sz w:val="24"/>
          <w:szCs w:val="24"/>
        </w:rPr>
        <w:br/>
        <w:t xml:space="preserve">- Non-certified plants (‘standard’):</w:t>
      </w:r>
      <w:r>
        <w:rPr>
          <w:color w:val="0200C9"/>
          <w:sz w:val="24"/>
          <w:szCs w:val="24"/>
        </w:rPr>
        <w:br/>
        <w:t xml:space="preserve">(a) Plants produced in areas known to be free from Xylophilus ampelinus;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(b) Place of production found free from Xylophilus ampelinus;</w:t>
      </w:r>
      <w:r>
        <w:rPr>
          <w:color w:val="0200C9"/>
          <w:sz w:val="24"/>
          <w:szCs w:val="24"/>
        </w:rPr>
        <w:br/>
        <w:t xml:space="preserve">or</w:t>
      </w:r>
      <w:r>
        <w:rPr>
          <w:color w:val="0200C9"/>
          <w:sz w:val="24"/>
          <w:szCs w:val="24"/>
        </w:rPr>
        <w:br/>
        <w:t xml:space="preserve">(c) Any plants showing symptoms have been uprooted and destroyed and appropriate hygiene measures taken to avoid spread within the nursery.</w:t>
      </w:r>
      <w:r>
        <w:rPr>
          <w:color w:val="0200C9"/>
          <w:sz w:val="24"/>
          <w:szCs w:val="24"/>
        </w:rPr>
        <w:br/>
        <w:br/>
        <w:t xml:space="preserve">- Pre-basic (‘initial’), basic and certified:</w:t>
      </w:r>
      <w:r>
        <w:rPr>
          <w:color w:val="0200C9"/>
          <w:sz w:val="24"/>
          <w:szCs w:val="24"/>
        </w:rPr>
        <w:br/>
        <w:t xml:space="preserve">Additional measures could include treatment after pruning with a bactericide, and restriction to first two options above.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Asymptomatic testing is not relevant because symptoms are very clear. The pest can be transmitted with pruning equipment. More stringent measures can be defined at national level.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REFERENCES: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EFSA Panel on Plant Health (PLH) (2014) Scientific Opinion on the pest categorisation of Xylophilus ampelinus (Panagopoulos) Willems et al. EFSA Journal 2014;12(12):3921, 26 pp. doi:10.2903/j.efsa.2014.3921 </w:t>
      </w:r>
      <w:hyperlink r:id="rId623466239bbe753b3" w:history="1">
        <w:r>
          <w:rPr>
            <w:color w:val="0200C9"/>
            <w:sz w:val="24"/>
            <w:szCs w:val="24"/>
          </w:rPr>
          <w:t xml:space="preserve">http://www.efsa.europa.eu/en/efsajournal/doc/3921.pdf</w:t>
        </w:r>
      </w:hyperlink>
      <w:r>
        <w:rPr>
          <w:color w:val="0200C9"/>
          <w:sz w:val="24"/>
          <w:szCs w:val="24"/>
        </w:rPr>
        <w:t xml:space="preserve">;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EU COM (2016) Recommendation of the Working Group on the Annexes of the Council Directive 2000/29/EC – Section II – Listing of Harmful Organisms as regards the future listing of Xylophilus ampelinus (Panagopoulos) Willems et al.;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6598124">
    <w:multiLevelType w:val="hybridMultilevel"/>
    <w:lvl w:ilvl="0" w:tplc="87698800">
      <w:start w:val="1"/>
      <w:numFmt w:val="decimal"/>
      <w:lvlText w:val="%1."/>
      <w:lvlJc w:val="left"/>
      <w:pPr>
        <w:ind w:left="720" w:hanging="360"/>
      </w:pPr>
    </w:lvl>
    <w:lvl w:ilvl="1" w:tplc="87698800" w:tentative="1">
      <w:start w:val="1"/>
      <w:numFmt w:val="lowerLetter"/>
      <w:lvlText w:val="%2."/>
      <w:lvlJc w:val="left"/>
      <w:pPr>
        <w:ind w:left="1440" w:hanging="360"/>
      </w:pPr>
    </w:lvl>
    <w:lvl w:ilvl="2" w:tplc="87698800" w:tentative="1">
      <w:start w:val="1"/>
      <w:numFmt w:val="lowerRoman"/>
      <w:lvlText w:val="%3."/>
      <w:lvlJc w:val="right"/>
      <w:pPr>
        <w:ind w:left="2160" w:hanging="180"/>
      </w:pPr>
    </w:lvl>
    <w:lvl w:ilvl="3" w:tplc="87698800" w:tentative="1">
      <w:start w:val="1"/>
      <w:numFmt w:val="decimal"/>
      <w:lvlText w:val="%4."/>
      <w:lvlJc w:val="left"/>
      <w:pPr>
        <w:ind w:left="2880" w:hanging="360"/>
      </w:pPr>
    </w:lvl>
    <w:lvl w:ilvl="4" w:tplc="87698800" w:tentative="1">
      <w:start w:val="1"/>
      <w:numFmt w:val="lowerLetter"/>
      <w:lvlText w:val="%5."/>
      <w:lvlJc w:val="left"/>
      <w:pPr>
        <w:ind w:left="3600" w:hanging="360"/>
      </w:pPr>
    </w:lvl>
    <w:lvl w:ilvl="5" w:tplc="87698800" w:tentative="1">
      <w:start w:val="1"/>
      <w:numFmt w:val="lowerRoman"/>
      <w:lvlText w:val="%6."/>
      <w:lvlJc w:val="right"/>
      <w:pPr>
        <w:ind w:left="4320" w:hanging="180"/>
      </w:pPr>
    </w:lvl>
    <w:lvl w:ilvl="6" w:tplc="87698800" w:tentative="1">
      <w:start w:val="1"/>
      <w:numFmt w:val="decimal"/>
      <w:lvlText w:val="%7."/>
      <w:lvlJc w:val="left"/>
      <w:pPr>
        <w:ind w:left="5040" w:hanging="360"/>
      </w:pPr>
    </w:lvl>
    <w:lvl w:ilvl="7" w:tplc="87698800" w:tentative="1">
      <w:start w:val="1"/>
      <w:numFmt w:val="lowerLetter"/>
      <w:lvlText w:val="%8."/>
      <w:lvlJc w:val="left"/>
      <w:pPr>
        <w:ind w:left="5760" w:hanging="360"/>
      </w:pPr>
    </w:lvl>
    <w:lvl w:ilvl="8" w:tplc="87698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98123">
    <w:multiLevelType w:val="hybridMultilevel"/>
    <w:lvl w:ilvl="0" w:tplc="53701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6598123">
    <w:abstractNumId w:val="66598123"/>
  </w:num>
  <w:num w:numId="66598124">
    <w:abstractNumId w:val="665981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30235608" Type="http://schemas.microsoft.com/office/2011/relationships/commentsExtended" Target="commentsExtended.xml"/><Relationship Id="rId476166239bbe7510b" Type="http://schemas.openxmlformats.org/officeDocument/2006/relationships/hyperlink" Target="https://gd.eppo.int/" TargetMode="External"/><Relationship Id="rId623466239bbe753b3" Type="http://schemas.openxmlformats.org/officeDocument/2006/relationships/hyperlink" Target="http://www.efsa.europa.eu/en/efsajournal/doc/3921.pdf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