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0426629477318bbb"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44136629477318e5a"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39979">
    <w:multiLevelType w:val="hybridMultilevel"/>
    <w:lvl w:ilvl="0" w:tplc="27387928">
      <w:start w:val="1"/>
      <w:numFmt w:val="decimal"/>
      <w:lvlText w:val="%1."/>
      <w:lvlJc w:val="left"/>
      <w:pPr>
        <w:ind w:left="720" w:hanging="360"/>
      </w:pPr>
    </w:lvl>
    <w:lvl w:ilvl="1" w:tplc="27387928" w:tentative="1">
      <w:start w:val="1"/>
      <w:numFmt w:val="lowerLetter"/>
      <w:lvlText w:val="%2."/>
      <w:lvlJc w:val="left"/>
      <w:pPr>
        <w:ind w:left="1440" w:hanging="360"/>
      </w:pPr>
    </w:lvl>
    <w:lvl w:ilvl="2" w:tplc="27387928" w:tentative="1">
      <w:start w:val="1"/>
      <w:numFmt w:val="lowerRoman"/>
      <w:lvlText w:val="%3."/>
      <w:lvlJc w:val="right"/>
      <w:pPr>
        <w:ind w:left="2160" w:hanging="180"/>
      </w:pPr>
    </w:lvl>
    <w:lvl w:ilvl="3" w:tplc="27387928" w:tentative="1">
      <w:start w:val="1"/>
      <w:numFmt w:val="decimal"/>
      <w:lvlText w:val="%4."/>
      <w:lvlJc w:val="left"/>
      <w:pPr>
        <w:ind w:left="2880" w:hanging="360"/>
      </w:pPr>
    </w:lvl>
    <w:lvl w:ilvl="4" w:tplc="27387928" w:tentative="1">
      <w:start w:val="1"/>
      <w:numFmt w:val="lowerLetter"/>
      <w:lvlText w:val="%5."/>
      <w:lvlJc w:val="left"/>
      <w:pPr>
        <w:ind w:left="3600" w:hanging="360"/>
      </w:pPr>
    </w:lvl>
    <w:lvl w:ilvl="5" w:tplc="27387928" w:tentative="1">
      <w:start w:val="1"/>
      <w:numFmt w:val="lowerRoman"/>
      <w:lvlText w:val="%6."/>
      <w:lvlJc w:val="right"/>
      <w:pPr>
        <w:ind w:left="4320" w:hanging="180"/>
      </w:pPr>
    </w:lvl>
    <w:lvl w:ilvl="6" w:tplc="27387928" w:tentative="1">
      <w:start w:val="1"/>
      <w:numFmt w:val="decimal"/>
      <w:lvlText w:val="%7."/>
      <w:lvlJc w:val="left"/>
      <w:pPr>
        <w:ind w:left="5040" w:hanging="360"/>
      </w:pPr>
    </w:lvl>
    <w:lvl w:ilvl="7" w:tplc="27387928" w:tentative="1">
      <w:start w:val="1"/>
      <w:numFmt w:val="lowerLetter"/>
      <w:lvlText w:val="%8."/>
      <w:lvlJc w:val="left"/>
      <w:pPr>
        <w:ind w:left="5760" w:hanging="360"/>
      </w:pPr>
    </w:lvl>
    <w:lvl w:ilvl="8" w:tplc="27387928" w:tentative="1">
      <w:start w:val="1"/>
      <w:numFmt w:val="lowerRoman"/>
      <w:lvlText w:val="%9."/>
      <w:lvlJc w:val="right"/>
      <w:pPr>
        <w:ind w:left="6480" w:hanging="180"/>
      </w:pPr>
    </w:lvl>
  </w:abstractNum>
  <w:abstractNum w:abstractNumId="93839978">
    <w:multiLevelType w:val="hybridMultilevel"/>
    <w:lvl w:ilvl="0" w:tplc="610287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39978">
    <w:abstractNumId w:val="93839978"/>
  </w:num>
  <w:num w:numId="93839979">
    <w:abstractNumId w:val="938399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9032189" Type="http://schemas.microsoft.com/office/2011/relationships/commentsExtended" Target="commentsExtended.xml"/><Relationship Id="rId80426629477318bbb" Type="http://schemas.openxmlformats.org/officeDocument/2006/relationships/hyperlink" Target="https://gd.eppo.int/" TargetMode="External"/><Relationship Id="rId44136629477318e5a"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